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5FE" w:rsidRDefault="000905FE">
      <w:pPr>
        <w:pStyle w:val="PlainText"/>
        <w:spacing w:after="80" w:line="280" w:lineRule="exact"/>
        <w:jc w:val="both"/>
        <w:rPr>
          <w:rFonts w:ascii="Times New Roman" w:eastAsia="MS Mincho" w:hAnsi="Times New Roman" w:cs="FrankRuehl"/>
          <w:szCs w:val="24"/>
          <w:rtl/>
          <w:lang w:eastAsia="en-US"/>
        </w:rPr>
      </w:pPr>
      <w:bookmarkStart w:id="0" w:name="_GoBack"/>
      <w:bookmarkEnd w:id="0"/>
    </w:p>
    <w:p w:rsidR="000905FE" w:rsidRDefault="000905FE">
      <w:pPr>
        <w:pStyle w:val="a8"/>
        <w:spacing w:after="80" w:line="280" w:lineRule="exact"/>
        <w:rPr>
          <w:rFonts w:eastAsia="MS Mincho" w:cs="FrankRuehl"/>
          <w:b w:val="0"/>
          <w:bCs w:val="0"/>
          <w:szCs w:val="24"/>
          <w:rtl/>
          <w:lang w:eastAsia="en-US"/>
        </w:rPr>
      </w:pPr>
      <w:r>
        <w:rPr>
          <w:rFonts w:eastAsia="MS Mincho" w:cs="FrankRuehl"/>
          <w:b w:val="0"/>
          <w:bCs w:val="0"/>
          <w:szCs w:val="24"/>
          <w:rtl/>
          <w:lang w:eastAsia="en-US"/>
        </w:rPr>
        <w:t xml:space="preserve"> ערעור פלילי מס' 566/77, 575/77</w:t>
      </w:r>
    </w:p>
    <w:p w:rsidR="000905FE" w:rsidRDefault="000905FE">
      <w:pPr>
        <w:pStyle w:val="PlainText"/>
        <w:spacing w:after="80" w:line="280" w:lineRule="exact"/>
        <w:jc w:val="both"/>
        <w:rPr>
          <w:rFonts w:ascii="Times New Roman" w:eastAsia="MS Mincho" w:hAnsi="Times New Roman" w:cs="FrankRuehl"/>
          <w:szCs w:val="24"/>
          <w:rtl/>
          <w:lang w:eastAsia="en-US"/>
        </w:rPr>
      </w:pP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1. </w:t>
      </w:r>
      <w:r>
        <w:rPr>
          <w:rStyle w:val="10"/>
          <w:rFonts w:eastAsia="MS Mincho" w:cs="FrankRuehl"/>
          <w:color w:val="auto"/>
          <w:szCs w:val="24"/>
          <w:rtl/>
        </w:rPr>
        <w:t>אורינט קולור מעבדה לצלום צבעוני בע"מ</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2. </w:t>
      </w:r>
      <w:r>
        <w:rPr>
          <w:rStyle w:val="10"/>
          <w:rFonts w:eastAsia="MS Mincho" w:cs="FrankRuehl"/>
          <w:color w:val="auto"/>
          <w:szCs w:val="24"/>
          <w:rtl/>
        </w:rPr>
        <w:t>מרסל בן יוסף שמואלי</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נגד</w:t>
      </w:r>
    </w:p>
    <w:p w:rsidR="000905FE" w:rsidRDefault="000905FE">
      <w:pPr>
        <w:pStyle w:val="PlainText"/>
        <w:spacing w:after="80" w:line="280" w:lineRule="exact"/>
        <w:jc w:val="both"/>
        <w:rPr>
          <w:rFonts w:ascii="Times New Roman" w:eastAsia="MS Mincho" w:hAnsi="Times New Roman" w:cs="FrankRuehl"/>
          <w:szCs w:val="24"/>
          <w:rtl/>
          <w:lang w:eastAsia="en-US"/>
        </w:rPr>
      </w:pPr>
      <w:r>
        <w:rPr>
          <w:rStyle w:val="20"/>
          <w:rFonts w:eastAsia="MS Mincho" w:cs="FrankRuehl"/>
          <w:color w:val="auto"/>
          <w:szCs w:val="24"/>
          <w:rtl/>
        </w:rPr>
        <w:t>מדינת ישראל</w:t>
      </w:r>
      <w:r>
        <w:rPr>
          <w:rFonts w:ascii="Times New Roman" w:eastAsia="MS Mincho" w:hAnsi="Times New Roman" w:cs="FrankRuehl"/>
          <w:szCs w:val="24"/>
          <w:rtl/>
          <w:lang w:eastAsia="en-US"/>
        </w:rPr>
        <w:t xml:space="preserve">   - </w:t>
      </w:r>
      <w:hyperlink r:id="rId6" w:history="1">
        <w:r w:rsidR="00CA3163" w:rsidRPr="00CA3163">
          <w:rPr>
            <w:rFonts w:ascii="Times New Roman" w:eastAsia="MS Mincho" w:hAnsi="Times New Roman" w:cs="FrankRuehl"/>
            <w:color w:val="0000FF"/>
            <w:szCs w:val="24"/>
            <w:u w:val="single"/>
            <w:rtl/>
            <w:lang w:eastAsia="en-US"/>
          </w:rPr>
          <w:t>ע"פ 566/77</w:t>
        </w:r>
        <w:r w:rsidR="00CA3163" w:rsidRPr="00CA3163">
          <w:rPr>
            <w:rFonts w:ascii="Times New Roman" w:eastAsia="MS Mincho" w:hAnsi="Times New Roman" w:cs="FrankRuehl"/>
            <w:color w:val="0000FF"/>
            <w:szCs w:val="24"/>
            <w:u w:val="single"/>
            <w:rtl/>
            <w:lang w:eastAsia="en-US"/>
          </w:rPr>
          <w:cr/>
        </w:r>
      </w:hyperlink>
      <w:r>
        <w:rPr>
          <w:rFonts w:ascii="Times New Roman" w:eastAsia="MS Mincho" w:hAnsi="Times New Roman" w:cs="FrankRuehl"/>
          <w:szCs w:val="24"/>
          <w:rtl/>
          <w:lang w:eastAsia="en-US"/>
        </w:rPr>
        <w:t xml:space="preserve">1. </w:t>
      </w:r>
      <w:r>
        <w:rPr>
          <w:rStyle w:val="10"/>
          <w:rFonts w:eastAsia="MS Mincho" w:cs="FrankRuehl"/>
          <w:color w:val="auto"/>
          <w:szCs w:val="24"/>
          <w:rtl/>
        </w:rPr>
        <w:t>ש' גטר (צרכי צלום) בע"מ</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2. </w:t>
      </w:r>
      <w:r>
        <w:rPr>
          <w:rStyle w:val="10"/>
          <w:rFonts w:eastAsia="MS Mincho" w:cs="FrankRuehl"/>
          <w:color w:val="auto"/>
          <w:szCs w:val="24"/>
          <w:rtl/>
        </w:rPr>
        <w:t>פסח הגר</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3. </w:t>
      </w:r>
      <w:r>
        <w:rPr>
          <w:rStyle w:val="10"/>
          <w:rFonts w:eastAsia="MS Mincho" w:cs="FrankRuehl"/>
          <w:color w:val="auto"/>
          <w:szCs w:val="24"/>
          <w:rtl/>
        </w:rPr>
        <w:t>צנטרוקולור בע"מ</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4. </w:t>
      </w:r>
      <w:r>
        <w:rPr>
          <w:rStyle w:val="10"/>
          <w:rFonts w:eastAsia="MS Mincho" w:cs="FrankRuehl"/>
          <w:color w:val="auto"/>
          <w:szCs w:val="24"/>
          <w:rtl/>
        </w:rPr>
        <w:t>זביגנוב בן צבי קלינובסקי</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5. </w:t>
      </w:r>
      <w:r>
        <w:rPr>
          <w:rStyle w:val="10"/>
          <w:rFonts w:eastAsia="MS Mincho" w:cs="FrankRuehl"/>
          <w:color w:val="auto"/>
          <w:szCs w:val="24"/>
          <w:rtl/>
        </w:rPr>
        <w:t>שלמה חדי בע"מ</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6. </w:t>
      </w:r>
      <w:r>
        <w:rPr>
          <w:rStyle w:val="10"/>
          <w:rFonts w:eastAsia="MS Mincho" w:cs="FrankRuehl"/>
          <w:color w:val="auto"/>
          <w:szCs w:val="24"/>
          <w:rtl/>
        </w:rPr>
        <w:t>אברהם בן שלמה חדי</w:t>
      </w:r>
    </w:p>
    <w:p w:rsidR="000905FE" w:rsidRDefault="000905FE">
      <w:pPr>
        <w:pStyle w:val="PlainText"/>
        <w:spacing w:after="80"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נגד</w:t>
      </w:r>
    </w:p>
    <w:p w:rsidR="000905FE" w:rsidRDefault="000905FE">
      <w:pPr>
        <w:pStyle w:val="PlainText"/>
        <w:spacing w:after="80" w:line="280" w:lineRule="exact"/>
        <w:jc w:val="both"/>
        <w:rPr>
          <w:rFonts w:ascii="Times New Roman" w:eastAsia="MS Mincho" w:hAnsi="Times New Roman" w:cs="FrankRuehl"/>
          <w:szCs w:val="24"/>
          <w:rtl/>
          <w:lang w:eastAsia="en-US"/>
        </w:rPr>
      </w:pPr>
      <w:r>
        <w:rPr>
          <w:rStyle w:val="20"/>
          <w:rFonts w:eastAsia="MS Mincho" w:cs="FrankRuehl"/>
          <w:color w:val="auto"/>
          <w:szCs w:val="24"/>
          <w:rtl/>
        </w:rPr>
        <w:t>מדינת ישראל</w:t>
      </w:r>
      <w:r>
        <w:rPr>
          <w:rFonts w:ascii="Times New Roman" w:eastAsia="MS Mincho" w:hAnsi="Times New Roman" w:cs="FrankRuehl"/>
          <w:szCs w:val="24"/>
          <w:rtl/>
          <w:lang w:eastAsia="en-US"/>
        </w:rPr>
        <w:t xml:space="preserve">   - </w:t>
      </w:r>
      <w:r>
        <w:rPr>
          <w:rStyle w:val="a3"/>
          <w:rFonts w:eastAsia="MS Mincho" w:cs="FrankRuehl"/>
          <w:color w:val="auto"/>
          <w:szCs w:val="24"/>
          <w:rtl/>
        </w:rPr>
        <w:t>ע"פ 575/77</w:t>
      </w:r>
    </w:p>
    <w:p w:rsidR="000905FE" w:rsidRDefault="000905FE">
      <w:pPr>
        <w:pStyle w:val="PlainText"/>
        <w:spacing w:after="80" w:line="280" w:lineRule="exact"/>
        <w:jc w:val="both"/>
        <w:rPr>
          <w:rFonts w:ascii="Times New Roman" w:eastAsia="MS Mincho" w:hAnsi="Times New Roman" w:cs="FrankRuehl"/>
          <w:szCs w:val="24"/>
          <w:rtl/>
          <w:lang w:eastAsia="en-US"/>
        </w:rPr>
      </w:pPr>
    </w:p>
    <w:p w:rsidR="000905FE" w:rsidRDefault="000905FE">
      <w:pPr>
        <w:pStyle w:val="PlainText"/>
        <w:spacing w:after="80" w:line="280" w:lineRule="exact"/>
        <w:jc w:val="center"/>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בבית-המשפט העליון בשבתו כבית-משפט לערעורים פליליים </w:t>
      </w:r>
    </w:p>
    <w:p w:rsidR="000905FE" w:rsidRDefault="000905FE">
      <w:pPr>
        <w:pStyle w:val="PlainText"/>
        <w:spacing w:after="80" w:line="280" w:lineRule="exact"/>
        <w:jc w:val="center"/>
        <w:rPr>
          <w:rFonts w:ascii="Times New Roman" w:eastAsia="MS Mincho" w:hAnsi="Times New Roman" w:cs="FrankRuehl"/>
          <w:szCs w:val="24"/>
          <w:rtl/>
          <w:lang w:eastAsia="en-US"/>
        </w:rPr>
      </w:pPr>
      <w:r>
        <w:rPr>
          <w:rFonts w:ascii="Times New Roman" w:eastAsia="MS Mincho" w:hAnsi="Times New Roman" w:cs="FrankRuehl"/>
          <w:szCs w:val="24"/>
          <w:rtl/>
          <w:lang w:eastAsia="en-US"/>
        </w:rPr>
        <w:t>[31.5.78, 15.6.78]</w:t>
      </w:r>
    </w:p>
    <w:p w:rsidR="000905FE" w:rsidRDefault="000905FE">
      <w:pPr>
        <w:pStyle w:val="PlainText"/>
        <w:spacing w:after="80" w:line="280" w:lineRule="exact"/>
        <w:jc w:val="center"/>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לפני השופטים </w:t>
      </w:r>
      <w:r>
        <w:rPr>
          <w:rStyle w:val="a5"/>
          <w:rFonts w:cs="FrankRuehl"/>
          <w:szCs w:val="24"/>
          <w:rtl/>
          <w:lang w:eastAsia="en-US"/>
        </w:rPr>
        <w:t>אשר</w:t>
      </w:r>
      <w:r>
        <w:rPr>
          <w:rFonts w:ascii="Times New Roman" w:eastAsia="MS Mincho" w:hAnsi="Times New Roman" w:cs="FrankRuehl"/>
          <w:szCs w:val="24"/>
          <w:rtl/>
          <w:lang w:eastAsia="en-US"/>
        </w:rPr>
        <w:t xml:space="preserve">, </w:t>
      </w:r>
      <w:r>
        <w:rPr>
          <w:rStyle w:val="a5"/>
          <w:rFonts w:cs="FrankRuehl"/>
          <w:szCs w:val="24"/>
          <w:rtl/>
          <w:lang w:eastAsia="en-US"/>
        </w:rPr>
        <w:t>אלון</w:t>
      </w:r>
      <w:r>
        <w:rPr>
          <w:rFonts w:ascii="Times New Roman" w:eastAsia="MS Mincho" w:hAnsi="Times New Roman" w:cs="FrankRuehl"/>
          <w:szCs w:val="24"/>
          <w:rtl/>
          <w:lang w:eastAsia="en-US"/>
        </w:rPr>
        <w:t xml:space="preserve">, </w:t>
      </w:r>
      <w:r>
        <w:rPr>
          <w:rStyle w:val="a5"/>
          <w:rFonts w:cs="FrankRuehl"/>
          <w:szCs w:val="24"/>
          <w:rtl/>
          <w:lang w:eastAsia="en-US"/>
        </w:rPr>
        <w:t>לוין</w:t>
      </w:r>
    </w:p>
    <w:p w:rsidR="000905FE" w:rsidRDefault="000905FE">
      <w:pPr>
        <w:pStyle w:val="PlainText"/>
        <w:spacing w:after="80" w:line="28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w:t>
      </w:r>
      <w:hyperlink r:id="rId7" w:history="1">
        <w:r w:rsidRPr="000905FE">
          <w:rPr>
            <w:rStyle w:val="Hyperlink"/>
            <w:rFonts w:ascii="Times New Roman" w:eastAsia="MS Mincho" w:hAnsi="Times New Roman" w:cs="FrankRuehl"/>
            <w:szCs w:val="24"/>
            <w:rtl/>
          </w:rPr>
          <w:t>חוק ההגבלים העסקיים</w:t>
        </w:r>
      </w:hyperlink>
      <w:r>
        <w:rPr>
          <w:rFonts w:ascii="Times New Roman" w:eastAsia="MS Mincho" w:hAnsi="Times New Roman" w:cs="FrankRuehl"/>
          <w:szCs w:val="24"/>
          <w:rtl/>
          <w:lang w:eastAsia="en-US"/>
        </w:rPr>
        <w:t>, תשי"ט-1959, ס"ח 152, סעיפים 18 [הוחלף, 18(א) סומן:</w:t>
      </w:r>
      <w:r>
        <w:rPr>
          <w:rFonts w:ascii="Times New Roman" w:eastAsia="MS Mincho" w:hAnsi="Times New Roman" w:cs="FrankRuehl"/>
          <w:color w:val="FFFFFF"/>
          <w:sz w:val="4"/>
          <w:szCs w:val="4"/>
          <w:rtl/>
          <w:lang w:eastAsia="en-US"/>
        </w:rPr>
        <w:t>נ</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ס"ח, תשל"ב, 18], 43, 6, 23.</w:t>
      </w: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bookmarkStart w:id="1" w:name="ABSTRACT_START"/>
      <w:bookmarkEnd w:id="1"/>
      <w:r>
        <w:rPr>
          <w:rFonts w:ascii="Times New Roman" w:eastAsia="MS Mincho" w:hAnsi="Times New Roman" w:cs="FrankRuehl"/>
          <w:szCs w:val="22"/>
          <w:rtl/>
          <w:lang w:eastAsia="en-US"/>
        </w:rPr>
        <w:t>מיני-רציו:</w:t>
      </w: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עונשין – עבירות – הגבלים עסקיים</w:t>
      </w: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ראיות – נטל ההוכחה – יסוד שלילי</w:t>
      </w:r>
    </w:p>
    <w:p w:rsidR="000905FE" w:rsidRDefault="000905FE">
      <w:pPr>
        <w:pStyle w:val="PlainText"/>
        <w:spacing w:line="260" w:lineRule="exact"/>
        <w:jc w:val="both"/>
        <w:rPr>
          <w:rFonts w:ascii="Times New Roman" w:eastAsia="MS Mincho" w:hAnsi="Times New Roman" w:cs="FrankRuehl" w:hint="cs"/>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הערעור נסב על השאלה אם צדק בית-המשפט המחוזי בקביעתו שהחובה להוכיח רישום הסדר כובל, לפי </w:t>
      </w:r>
      <w:hyperlink r:id="rId8" w:history="1">
        <w:r w:rsidRPr="000905FE">
          <w:rPr>
            <w:rStyle w:val="Hyperlink"/>
            <w:rFonts w:ascii="Times New Roman" w:eastAsia="MS Mincho" w:hAnsi="Times New Roman" w:cs="FrankRuehl"/>
            <w:szCs w:val="22"/>
            <w:rtl/>
          </w:rPr>
          <w:t>חוק ההגבלים העסקיים</w:t>
        </w:r>
      </w:hyperlink>
      <w:r>
        <w:rPr>
          <w:rFonts w:ascii="Times New Roman" w:eastAsia="MS Mincho" w:hAnsi="Times New Roman" w:cs="FrankRuehl"/>
          <w:szCs w:val="22"/>
          <w:rtl/>
          <w:lang w:eastAsia="en-US"/>
        </w:rPr>
        <w:t>, תשי"ט-1959, חלה על הנאשמים, או שמא היה על המדינה להוכיח אי-רישום ההסדר הכובל.</w:t>
      </w: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בית-המשפט העליון פסק</w:t>
      </w:r>
      <w:r>
        <w:rPr>
          <w:rFonts w:ascii="Times New Roman" w:eastAsia="MS Mincho" w:hAnsi="Times New Roman" w:cs="FrankRuehl" w:hint="cs"/>
          <w:szCs w:val="22"/>
          <w:rtl/>
          <w:lang w:eastAsia="en-US"/>
        </w:rPr>
        <w:t>:</w:t>
      </w: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א. (1) כלל הוא במשפט פלילי - להוציא מקרים שלגביהם נקבע אחרת בחוק חרות - שעל התביעה הכללית להוכיח את כל היסודות של העבירה שבכתב-האישום, בין אם הם יסודות חיוביים ובין אם הם יסודות שליליים.</w:t>
      </w: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(2) נטל השכנוע בשאלת אי-רישום הסדר כובל, לפי </w:t>
      </w:r>
      <w:hyperlink r:id="rId9" w:history="1">
        <w:r w:rsidRPr="000905FE">
          <w:rPr>
            <w:rStyle w:val="Hyperlink"/>
            <w:rFonts w:ascii="Times New Roman" w:eastAsia="MS Mincho" w:hAnsi="Times New Roman" w:cs="FrankRuehl"/>
            <w:szCs w:val="22"/>
            <w:rtl/>
          </w:rPr>
          <w:t>חוק ההגבלים העסקיים</w:t>
        </w:r>
      </w:hyperlink>
      <w:r>
        <w:rPr>
          <w:rFonts w:ascii="Times New Roman" w:eastAsia="MS Mincho" w:hAnsi="Times New Roman" w:cs="FrankRuehl"/>
          <w:szCs w:val="22"/>
          <w:rtl/>
          <w:lang w:eastAsia="en-US"/>
        </w:rPr>
        <w:t>, תשי"ט-1959, מוטל על התביעה הכללית.</w:t>
      </w: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(3) כשהמדובר ברישומו של הסדר כובל אין הצדקה להפחית את כמות הראיות להוכחת העובדה השלילית של אי-הרישום.</w:t>
      </w:r>
    </w:p>
    <w:p w:rsidR="000905FE" w:rsidRDefault="000905FE">
      <w:pPr>
        <w:pStyle w:val="PlainText"/>
        <w:spacing w:line="260" w:lineRule="exact"/>
        <w:jc w:val="both"/>
        <w:rPr>
          <w:rFonts w:ascii="Times New Roman" w:eastAsia="MS Mincho" w:hAnsi="Times New Roman" w:cs="FrankRuehl"/>
          <w:szCs w:val="22"/>
          <w:rtl/>
          <w:lang w:eastAsia="en-US"/>
        </w:rPr>
      </w:pPr>
      <w:bookmarkStart w:id="2" w:name="ABSTRACT_END"/>
      <w:bookmarkEnd w:id="2"/>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t xml:space="preserve"> ב.  המודעות המתפרסמות מטעם הממונה על ההגבלים העסקיים בילקוט הפרסומים אינן בגדר דין ובית-המשפט אינו חייב לדעת אותן.</w:t>
      </w: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r>
        <w:rPr>
          <w:rFonts w:ascii="Times New Roman" w:eastAsia="MS Mincho" w:hAnsi="Times New Roman" w:cs="FrankRuehl"/>
          <w:szCs w:val="22"/>
          <w:rtl/>
          <w:lang w:eastAsia="en-US"/>
        </w:rPr>
        <w:br w:type="page"/>
      </w: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2"/>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bookmarkStart w:id="3" w:name="FirstUzkeru"/>
      <w:bookmarkEnd w:id="3"/>
      <w:r>
        <w:rPr>
          <w:rFonts w:ascii="Times New Roman" w:eastAsia="MS Mincho" w:hAnsi="Times New Roman" w:cs="FrankRuehl"/>
          <w:szCs w:val="24"/>
          <w:rtl/>
          <w:lang w:eastAsia="en-US"/>
        </w:rPr>
        <w:t xml:space="preserve"> פסקי-דין של בית-המשפט העליון שאוזכרו:</w:t>
      </w:r>
      <w:r>
        <w:rPr>
          <w:rFonts w:ascii="Times New Roman" w:eastAsia="MS Mincho" w:hAnsi="Times New Roman" w:cs="FrankRuehl"/>
          <w:color w:val="FFFFFF"/>
          <w:sz w:val="4"/>
          <w:szCs w:val="4"/>
          <w:rtl/>
          <w:lang w:eastAsia="en-US"/>
        </w:rPr>
        <w:t>ב</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[1]  </w:t>
      </w:r>
      <w:hyperlink r:id="rId10" w:history="1">
        <w:r w:rsidR="00CA3163" w:rsidRPr="00CA3163">
          <w:rPr>
            <w:rStyle w:val="Hyperlink"/>
            <w:rFonts w:ascii="Times New Roman" w:eastAsia="MS Mincho" w:hAnsi="Times New Roman" w:cs="FrankRuehl"/>
            <w:szCs w:val="24"/>
            <w:rtl/>
          </w:rPr>
          <w:t>ע"פ 28/49</w:t>
        </w:r>
      </w:hyperlink>
      <w:r>
        <w:rPr>
          <w:rFonts w:ascii="Times New Roman" w:eastAsia="MS Mincho" w:hAnsi="Times New Roman" w:cs="FrankRuehl"/>
          <w:szCs w:val="24"/>
          <w:rtl/>
          <w:lang w:eastAsia="en-US"/>
        </w:rPr>
        <w:t xml:space="preserve"> סעיד חסין זרקא נ' היועץ המשפטי לממשלת ישראל; היועץ המשפטי לממשלת ישראל נ' סעיד חסין זרקא, </w:t>
      </w:r>
      <w:r>
        <w:rPr>
          <w:rStyle w:val="a9"/>
          <w:rFonts w:eastAsia="MS Mincho" w:cs="FrankRuehl"/>
          <w:color w:val="auto"/>
          <w:szCs w:val="24"/>
          <w:u w:val="none"/>
          <w:rtl/>
        </w:rPr>
        <w:t>פ"ד ד 504</w:t>
      </w:r>
      <w:r>
        <w:rPr>
          <w:rFonts w:ascii="Times New Roman" w:eastAsia="MS Mincho" w:hAnsi="Times New Roman" w:cs="FrankRuehl"/>
          <w:szCs w:val="24"/>
          <w:rtl/>
          <w:lang w:eastAsia="en-US"/>
        </w:rPr>
        <w:t>, 529; פ"ע ז 99.</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[2] </w:t>
      </w:r>
      <w:hyperlink r:id="rId11" w:history="1">
        <w:r w:rsidR="00CA3163" w:rsidRPr="00CA3163">
          <w:rPr>
            <w:rStyle w:val="Hyperlink"/>
            <w:rFonts w:ascii="Times New Roman" w:eastAsia="MS Mincho" w:hAnsi="Times New Roman" w:cs="FrankRuehl"/>
            <w:szCs w:val="24"/>
            <w:u w:color="008000"/>
            <w:rtl/>
          </w:rPr>
          <w:t>ע"פ 52/63 היועץ המשפטי לממשלה נ' משה פייגנבאוס, פ"ד יז</w:t>
        </w:r>
      </w:hyperlink>
      <w:r>
        <w:rPr>
          <w:rStyle w:val="a9"/>
          <w:rFonts w:eastAsia="MS Mincho" w:cs="FrankRuehl"/>
          <w:color w:val="auto"/>
          <w:szCs w:val="24"/>
          <w:u w:val="none"/>
          <w:rtl/>
        </w:rPr>
        <w:t xml:space="preserve"> 1081</w:t>
      </w:r>
      <w:r>
        <w:rPr>
          <w:rFonts w:ascii="Times New Roman" w:eastAsia="MS Mincho" w:hAnsi="Times New Roman" w:cs="FrankRuehl"/>
          <w:szCs w:val="24"/>
          <w:rtl/>
          <w:lang w:eastAsia="en-US"/>
        </w:rPr>
        <w:t>, 1088.</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[3] </w:t>
      </w:r>
      <w:hyperlink r:id="rId12" w:history="1">
        <w:r w:rsidR="00CA3163" w:rsidRPr="00CA3163">
          <w:rPr>
            <w:rStyle w:val="Hyperlink"/>
            <w:rFonts w:ascii="Times New Roman" w:eastAsia="MS Mincho" w:hAnsi="Times New Roman" w:cs="FrankRuehl"/>
            <w:szCs w:val="24"/>
            <w:u w:color="008000"/>
            <w:rtl/>
          </w:rPr>
          <w:t>ע"פ 156/58 היועץ המשפטי לממשלה נ' אברהם חכם, פ"ד יג</w:t>
        </w:r>
      </w:hyperlink>
      <w:r>
        <w:rPr>
          <w:rStyle w:val="a9"/>
          <w:rFonts w:eastAsia="MS Mincho" w:cs="FrankRuehl"/>
          <w:color w:val="auto"/>
          <w:szCs w:val="24"/>
          <w:u w:val="none"/>
          <w:rtl/>
        </w:rPr>
        <w:t xml:space="preserve"> 651</w:t>
      </w:r>
      <w:r>
        <w:rPr>
          <w:rFonts w:ascii="Times New Roman" w:eastAsia="MS Mincho" w:hAnsi="Times New Roman" w:cs="FrankRuehl"/>
          <w:szCs w:val="24"/>
          <w:rtl/>
          <w:lang w:eastAsia="en-US"/>
        </w:rPr>
        <w:t>, 662;</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פ"ע לט 118.</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[4] </w:t>
      </w:r>
      <w:hyperlink r:id="rId13" w:history="1">
        <w:r w:rsidR="00CA3163" w:rsidRPr="00CA3163">
          <w:rPr>
            <w:rStyle w:val="Hyperlink"/>
            <w:rFonts w:ascii="Times New Roman" w:eastAsia="MS Mincho" w:hAnsi="Times New Roman" w:cs="FrankRuehl"/>
            <w:szCs w:val="24"/>
            <w:u w:color="008000"/>
            <w:rtl/>
          </w:rPr>
          <w:t>ע"פ 132/57 בנימין נכט נ' היועץ המשפטי לממשלה, פ"ד יא</w:t>
        </w:r>
      </w:hyperlink>
      <w:r>
        <w:rPr>
          <w:rStyle w:val="a9"/>
          <w:rFonts w:eastAsia="MS Mincho" w:cs="FrankRuehl"/>
          <w:color w:val="auto"/>
          <w:szCs w:val="24"/>
          <w:u w:val="none"/>
          <w:rtl/>
        </w:rPr>
        <w:t xml:space="preserve"> 1544</w:t>
      </w:r>
      <w:r>
        <w:rPr>
          <w:rFonts w:ascii="Times New Roman" w:eastAsia="MS Mincho" w:hAnsi="Times New Roman" w:cs="FrankRuehl"/>
          <w:szCs w:val="24"/>
          <w:rtl/>
          <w:lang w:eastAsia="en-US"/>
        </w:rPr>
        <w:t>, 1550;</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פ"ע ל 392.</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[5]  </w:t>
      </w:r>
      <w:hyperlink r:id="rId14" w:history="1">
        <w:r w:rsidR="00CA3163" w:rsidRPr="00CA3163">
          <w:rPr>
            <w:rStyle w:val="Hyperlink"/>
            <w:rFonts w:ascii="Times New Roman" w:eastAsia="MS Mincho" w:hAnsi="Times New Roman" w:cs="FrankRuehl"/>
            <w:szCs w:val="24"/>
            <w:u w:color="008000"/>
            <w:rtl/>
          </w:rPr>
          <w:t>ע"א 135/63 וידאד ו-רחל סעיד ג'ריס כורי נ' מנצור ג'ריס כורי, ואח', פ"ד יז</w:t>
        </w:r>
      </w:hyperlink>
      <w:r>
        <w:rPr>
          <w:rStyle w:val="a9"/>
          <w:rFonts w:eastAsia="MS Mincho" w:cs="FrankRuehl"/>
          <w:color w:val="auto"/>
          <w:szCs w:val="24"/>
          <w:u w:val="none"/>
          <w:rtl/>
        </w:rPr>
        <w:t xml:space="preserve"> 1855</w:t>
      </w:r>
      <w:r>
        <w:rPr>
          <w:rFonts w:ascii="Times New Roman" w:eastAsia="MS Mincho" w:hAnsi="Times New Roman" w:cs="FrankRuehl"/>
          <w:szCs w:val="24"/>
          <w:rtl/>
          <w:lang w:eastAsia="en-US"/>
        </w:rPr>
        <w:t>.</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הערות:</w:t>
      </w:r>
      <w:r>
        <w:rPr>
          <w:rFonts w:ascii="Times New Roman" w:eastAsia="MS Mincho" w:hAnsi="Times New Roman" w:cs="FrankRuehl"/>
          <w:color w:val="FFFFFF"/>
          <w:sz w:val="4"/>
          <w:szCs w:val="4"/>
          <w:rtl/>
          <w:lang w:eastAsia="en-US"/>
        </w:rPr>
        <w:t>ו</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1. לנטל השכנוע המוטל על התביעה הכללית, עיין:</w:t>
      </w:r>
      <w:r>
        <w:rPr>
          <w:rFonts w:ascii="Times New Roman" w:eastAsia="MS Mincho" w:hAnsi="Times New Roman" w:cs="FrankRuehl"/>
          <w:color w:val="FFFFFF"/>
          <w:sz w:val="4"/>
          <w:szCs w:val="4"/>
          <w:rtl/>
          <w:lang w:eastAsia="en-US"/>
        </w:rPr>
        <w:t>נ</w:t>
      </w:r>
      <w:r>
        <w:rPr>
          <w:rFonts w:ascii="Times New Roman" w:eastAsia="MS Mincho" w:hAnsi="Times New Roman" w:cs="FrankRuehl"/>
          <w:szCs w:val="24"/>
          <w:rtl/>
          <w:lang w:eastAsia="en-US"/>
        </w:rPr>
        <w:t xml:space="preserve"> </w:t>
      </w:r>
      <w:hyperlink r:id="rId15" w:history="1">
        <w:r w:rsidR="00CA3163" w:rsidRPr="00CA3163">
          <w:rPr>
            <w:rStyle w:val="Hyperlink"/>
            <w:rFonts w:ascii="Times New Roman" w:eastAsia="MS Mincho" w:hAnsi="Times New Roman" w:cs="FrankRuehl"/>
            <w:szCs w:val="24"/>
            <w:rtl/>
            <w:lang w:eastAsia="en-US"/>
          </w:rPr>
          <w:t>ע"פ 732/76 מדינת ישראל נ' רפאל כחלון, ואח', פ"ד לב</w:t>
        </w:r>
      </w:hyperlink>
      <w:r>
        <w:rPr>
          <w:rFonts w:ascii="Times New Roman" w:eastAsia="MS Mincho" w:hAnsi="Times New Roman" w:cs="FrankRuehl"/>
          <w:szCs w:val="24"/>
          <w:rtl/>
          <w:lang w:eastAsia="en-US"/>
        </w:rPr>
        <w:t xml:space="preserve"> (1) 170; </w:t>
      </w:r>
      <w:hyperlink r:id="rId16" w:history="1">
        <w:r w:rsidR="00CA3163" w:rsidRPr="00CA3163">
          <w:rPr>
            <w:rStyle w:val="Hyperlink"/>
            <w:rFonts w:ascii="Times New Roman" w:eastAsia="MS Mincho" w:hAnsi="Times New Roman" w:cs="FrankRuehl"/>
            <w:szCs w:val="24"/>
            <w:rtl/>
            <w:lang w:eastAsia="en-US"/>
          </w:rPr>
          <w:t>ע"פ 328/72 סובחי חוסין עבאס, ואח' נ' מדינת ישראל, פ"ד כז</w:t>
        </w:r>
      </w:hyperlink>
      <w:r>
        <w:rPr>
          <w:rFonts w:ascii="Times New Roman" w:eastAsia="MS Mincho" w:hAnsi="Times New Roman" w:cs="FrankRuehl"/>
          <w:szCs w:val="24"/>
          <w:rtl/>
          <w:lang w:eastAsia="en-US"/>
        </w:rPr>
        <w:t xml:space="preserve"> (2) 94.</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2. ל</w:t>
      </w:r>
      <w:hyperlink r:id="rId17" w:history="1">
        <w:r w:rsidRPr="000905FE">
          <w:rPr>
            <w:rStyle w:val="Hyperlink"/>
            <w:rFonts w:ascii="Times New Roman" w:eastAsia="MS Mincho" w:hAnsi="Times New Roman" w:cs="FrankRuehl"/>
            <w:szCs w:val="24"/>
            <w:rtl/>
          </w:rPr>
          <w:t>חוק ההגבלים העסקיים</w:t>
        </w:r>
      </w:hyperlink>
      <w:r>
        <w:rPr>
          <w:rFonts w:ascii="Times New Roman" w:eastAsia="MS Mincho" w:hAnsi="Times New Roman" w:cs="FrankRuehl"/>
          <w:szCs w:val="24"/>
          <w:rtl/>
          <w:lang w:eastAsia="en-US"/>
        </w:rPr>
        <w:t>, תשי"ט-1959, עיין:</w:t>
      </w:r>
      <w:r>
        <w:rPr>
          <w:rFonts w:ascii="Times New Roman" w:eastAsia="MS Mincho" w:hAnsi="Times New Roman" w:cs="FrankRuehl"/>
          <w:color w:val="FFFFFF"/>
          <w:sz w:val="4"/>
          <w:szCs w:val="4"/>
          <w:rtl/>
          <w:lang w:eastAsia="en-US"/>
        </w:rPr>
        <w:t>ב</w:t>
      </w:r>
      <w:r>
        <w:rPr>
          <w:rFonts w:ascii="Times New Roman" w:eastAsia="MS Mincho" w:hAnsi="Times New Roman" w:cs="FrankRuehl"/>
          <w:szCs w:val="24"/>
          <w:rtl/>
          <w:lang w:eastAsia="en-US"/>
        </w:rPr>
        <w:t xml:space="preserve"> </w:t>
      </w:r>
      <w:hyperlink r:id="rId18" w:history="1">
        <w:r w:rsidR="00CA3163" w:rsidRPr="00CA3163">
          <w:rPr>
            <w:rStyle w:val="Hyperlink"/>
            <w:rFonts w:ascii="Times New Roman" w:eastAsia="MS Mincho" w:hAnsi="Times New Roman" w:cs="FrankRuehl"/>
            <w:szCs w:val="24"/>
            <w:rtl/>
            <w:lang w:eastAsia="en-US"/>
          </w:rPr>
          <w:t>ע"א 18/75 מאיר ליברמן נ' אריה דייטלצוייג, ואח', פ"ד כט</w:t>
        </w:r>
      </w:hyperlink>
      <w:r>
        <w:rPr>
          <w:rFonts w:ascii="Times New Roman" w:eastAsia="MS Mincho" w:hAnsi="Times New Roman" w:cs="FrankRuehl"/>
          <w:szCs w:val="24"/>
          <w:rtl/>
          <w:lang w:eastAsia="en-US"/>
        </w:rPr>
        <w:t xml:space="preserve"> (2) 513, 517.</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3. (א) לטענה של ידיעה שיפוטית, עיין:</w:t>
      </w:r>
      <w:r>
        <w:rPr>
          <w:rFonts w:ascii="Times New Roman" w:eastAsia="MS Mincho" w:hAnsi="Times New Roman" w:cs="FrankRuehl"/>
          <w:color w:val="FFFFFF"/>
          <w:sz w:val="4"/>
          <w:szCs w:val="4"/>
          <w:rtl/>
          <w:lang w:eastAsia="en-US"/>
        </w:rPr>
        <w:t>ו</w:t>
      </w:r>
      <w:r>
        <w:rPr>
          <w:rFonts w:ascii="Times New Roman" w:eastAsia="MS Mincho" w:hAnsi="Times New Roman" w:cs="FrankRuehl"/>
          <w:szCs w:val="24"/>
          <w:rtl/>
          <w:lang w:eastAsia="en-US"/>
        </w:rPr>
        <w:t xml:space="preserve"> </w:t>
      </w:r>
      <w:hyperlink r:id="rId19" w:history="1">
        <w:r w:rsidR="00CA3163" w:rsidRPr="00CA3163">
          <w:rPr>
            <w:rStyle w:val="Hyperlink"/>
            <w:rFonts w:ascii="Times New Roman" w:eastAsia="MS Mincho" w:hAnsi="Times New Roman" w:cs="FrankRuehl"/>
            <w:szCs w:val="24"/>
            <w:rtl/>
            <w:lang w:eastAsia="en-US"/>
          </w:rPr>
          <w:t>ע"א 759/76 צביה פז, ואח' נ' יצחק נוימן, פ"ד לא</w:t>
        </w:r>
      </w:hyperlink>
      <w:r>
        <w:rPr>
          <w:rFonts w:ascii="Times New Roman" w:eastAsia="MS Mincho" w:hAnsi="Times New Roman" w:cs="FrankRuehl"/>
          <w:szCs w:val="24"/>
          <w:rtl/>
          <w:lang w:eastAsia="en-US"/>
        </w:rPr>
        <w:t xml:space="preserve"> (2) 169.</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(ב) עיין גם:</w:t>
      </w:r>
      <w:r>
        <w:rPr>
          <w:rFonts w:ascii="Times New Roman" w:eastAsia="MS Mincho" w:hAnsi="Times New Roman" w:cs="FrankRuehl"/>
          <w:color w:val="FFFFFF"/>
          <w:sz w:val="4"/>
          <w:szCs w:val="4"/>
          <w:rtl/>
          <w:lang w:eastAsia="en-US"/>
        </w:rPr>
        <w:t>נ</w:t>
      </w:r>
      <w:r>
        <w:rPr>
          <w:rFonts w:ascii="Times New Roman" w:eastAsia="MS Mincho" w:hAnsi="Times New Roman" w:cs="FrankRuehl"/>
          <w:szCs w:val="24"/>
          <w:rtl/>
          <w:lang w:eastAsia="en-US"/>
        </w:rPr>
        <w:t xml:space="preserve"> א' </w:t>
      </w:r>
      <w:hyperlink r:id="rId20" w:history="1">
        <w:r w:rsidR="00CA3163" w:rsidRPr="00CA3163">
          <w:rPr>
            <w:rStyle w:val="Hyperlink"/>
            <w:rFonts w:ascii="Times New Roman" w:eastAsia="MS Mincho" w:hAnsi="Times New Roman" w:cs="FrankRuehl"/>
            <w:szCs w:val="24"/>
            <w:rtl/>
            <w:lang w:eastAsia="en-US"/>
          </w:rPr>
          <w:t>הרנון "הפעלת הידיעה השיפוטית"</w:t>
        </w:r>
      </w:hyperlink>
      <w:r>
        <w:rPr>
          <w:rFonts w:ascii="Times New Roman" w:eastAsia="MS Mincho" w:hAnsi="Times New Roman" w:cs="FrankRuehl"/>
          <w:szCs w:val="24"/>
          <w:rtl/>
          <w:lang w:eastAsia="en-US"/>
        </w:rPr>
        <w:t xml:space="preserve"> - אימתי וכיצד?" עיוני משפט ד 5.</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ערעורים ברשות על פסק-דינו של בית-המשפט המחוזי, תל-אביב-יפו (ז' צלטנר, נשיא, והשופטים מ' בייסקי, ש' ולנשטיין), מיום 15.3.77, ב-</w:t>
      </w:r>
      <w:r>
        <w:rPr>
          <w:rStyle w:val="a3"/>
          <w:rFonts w:eastAsia="MS Mincho" w:cs="FrankRuehl"/>
          <w:color w:val="auto"/>
          <w:szCs w:val="24"/>
          <w:u w:val="none"/>
          <w:rtl/>
        </w:rPr>
        <w:t>ע"פ 697/76</w:t>
      </w:r>
      <w:r>
        <w:rPr>
          <w:rFonts w:ascii="Times New Roman" w:eastAsia="MS Mincho" w:hAnsi="Times New Roman" w:cs="FrankRuehl"/>
          <w:szCs w:val="24"/>
          <w:rtl/>
          <w:lang w:eastAsia="en-US"/>
        </w:rPr>
        <w:t>, שלפיו נתקבל ערעורה של המשיבה על פסק-דינו של בית-משפט השלום (השופט י' שפירא), מיום 6.6.76, ב-</w:t>
      </w:r>
      <w:r>
        <w:rPr>
          <w:rStyle w:val="a3"/>
          <w:rFonts w:eastAsia="MS Mincho" w:cs="FrankRuehl"/>
          <w:color w:val="auto"/>
          <w:szCs w:val="24"/>
          <w:u w:val="none"/>
          <w:rtl/>
        </w:rPr>
        <w:t>ת"פ 7246/72</w:t>
      </w:r>
      <w:r>
        <w:rPr>
          <w:rFonts w:ascii="Times New Roman" w:eastAsia="MS Mincho" w:hAnsi="Times New Roman" w:cs="FrankRuehl"/>
          <w:szCs w:val="24"/>
          <w:rtl/>
          <w:lang w:eastAsia="en-US"/>
        </w:rPr>
        <w:t>. הערעורים נתקבלו ופסק-דינו של בית-משפט השלום הוחזר על כנו.</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w:t>
      </w:r>
      <w:r>
        <w:rPr>
          <w:rStyle w:val="1"/>
          <w:rFonts w:eastAsia="MS Mincho" w:cs="FrankRuehl"/>
          <w:color w:val="auto"/>
          <w:szCs w:val="24"/>
          <w:rtl/>
        </w:rPr>
        <w:t>א' גולדברג</w:t>
      </w:r>
      <w:r>
        <w:rPr>
          <w:rFonts w:ascii="Times New Roman" w:eastAsia="MS Mincho" w:hAnsi="Times New Roman" w:cs="FrankRuehl"/>
          <w:szCs w:val="24"/>
          <w:rtl/>
          <w:lang w:eastAsia="en-US"/>
        </w:rPr>
        <w:t xml:space="preserve"> - בשם המערערים;</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w:t>
      </w:r>
      <w:r>
        <w:rPr>
          <w:rStyle w:val="2"/>
          <w:rFonts w:eastAsia="MS Mincho" w:cs="FrankRuehl"/>
          <w:color w:val="auto"/>
          <w:szCs w:val="24"/>
          <w:rtl/>
        </w:rPr>
        <w:t>י' הורביץ</w:t>
      </w:r>
      <w:r>
        <w:rPr>
          <w:rFonts w:ascii="Times New Roman" w:eastAsia="MS Mincho" w:hAnsi="Times New Roman" w:cs="FrankRuehl"/>
          <w:szCs w:val="24"/>
          <w:rtl/>
          <w:lang w:eastAsia="en-US"/>
        </w:rPr>
        <w:t>, סגן בכיר לפרקליט המדינה - בשם המשיב</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center"/>
        <w:rPr>
          <w:rFonts w:ascii="Times New Roman" w:eastAsia="MS Mincho" w:hAnsi="Times New Roman" w:cs="FrankRuehl"/>
          <w:szCs w:val="24"/>
          <w:rtl/>
          <w:lang w:eastAsia="en-US"/>
        </w:rPr>
      </w:pPr>
    </w:p>
    <w:p w:rsidR="000905FE" w:rsidRDefault="000905FE">
      <w:pPr>
        <w:pStyle w:val="PlainText"/>
        <w:spacing w:line="260" w:lineRule="exact"/>
        <w:jc w:val="center"/>
        <w:rPr>
          <w:rFonts w:ascii="Times New Roman" w:eastAsia="MS Mincho" w:hAnsi="Times New Roman" w:cs="FrankRuehl"/>
          <w:bCs/>
          <w:szCs w:val="24"/>
          <w:rtl/>
          <w:lang w:eastAsia="en-US"/>
        </w:rPr>
      </w:pPr>
      <w:bookmarkStart w:id="4" w:name="PsakDin"/>
      <w:r>
        <w:rPr>
          <w:rFonts w:ascii="Times New Roman" w:eastAsia="MS Mincho" w:hAnsi="Times New Roman" w:cs="FrankRuehl"/>
          <w:bCs/>
          <w:szCs w:val="24"/>
          <w:rtl/>
          <w:lang w:eastAsia="en-US"/>
        </w:rPr>
        <w:t>פסק-דין</w:t>
      </w:r>
    </w:p>
    <w:bookmarkEnd w:id="4"/>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השופט אשר:</w:t>
      </w:r>
      <w:r>
        <w:rPr>
          <w:rFonts w:ascii="Times New Roman" w:eastAsia="MS Mincho" w:hAnsi="Times New Roman" w:cs="FrankRuehl"/>
          <w:color w:val="FFFFFF"/>
          <w:sz w:val="4"/>
          <w:szCs w:val="4"/>
          <w:rtl/>
          <w:lang w:eastAsia="en-US"/>
        </w:rPr>
        <w:t>ב</w:t>
      </w:r>
      <w:r>
        <w:rPr>
          <w:rFonts w:ascii="Times New Roman" w:eastAsia="MS Mincho" w:hAnsi="Times New Roman" w:cs="FrankRuehl"/>
          <w:szCs w:val="24"/>
          <w:rtl/>
          <w:lang w:eastAsia="en-US"/>
        </w:rPr>
        <w:t xml:space="preserve"> המערערים הואשמו בבית-משפט השלום בתל-אביב-יפו בעבירה על </w:t>
      </w:r>
      <w:hyperlink r:id="rId21" w:history="1">
        <w:r w:rsidR="00ED6AF9" w:rsidRPr="00ED6AF9">
          <w:rPr>
            <w:rFonts w:ascii="Times New Roman" w:eastAsia="MS Mincho" w:hAnsi="Times New Roman" w:cs="FrankRuehl"/>
            <w:color w:val="0000FF"/>
            <w:szCs w:val="24"/>
            <w:u w:val="single"/>
            <w:rtl/>
            <w:lang w:eastAsia="en-US"/>
          </w:rPr>
          <w:t>סעיפים 18</w:t>
        </w:r>
      </w:hyperlink>
      <w:r>
        <w:rPr>
          <w:rFonts w:ascii="Times New Roman" w:eastAsia="MS Mincho" w:hAnsi="Times New Roman" w:cs="FrankRuehl"/>
          <w:szCs w:val="24"/>
          <w:rtl/>
          <w:lang w:eastAsia="en-US"/>
        </w:rPr>
        <w:t xml:space="preserve"> ו-</w:t>
      </w:r>
      <w:hyperlink r:id="rId22" w:history="1">
        <w:r w:rsidR="00ED6AF9" w:rsidRPr="00ED6AF9">
          <w:rPr>
            <w:rFonts w:ascii="Times New Roman" w:eastAsia="MS Mincho" w:hAnsi="Times New Roman" w:cs="FrankRuehl"/>
            <w:color w:val="0000FF"/>
            <w:szCs w:val="24"/>
            <w:u w:val="single"/>
            <w:rtl/>
            <w:lang w:eastAsia="en-US"/>
          </w:rPr>
          <w:t>43</w:t>
        </w:r>
      </w:hyperlink>
      <w:r>
        <w:rPr>
          <w:rFonts w:ascii="Times New Roman" w:eastAsia="MS Mincho" w:hAnsi="Times New Roman" w:cs="FrankRuehl"/>
          <w:szCs w:val="24"/>
          <w:rtl/>
          <w:lang w:eastAsia="en-US"/>
        </w:rPr>
        <w:t xml:space="preserve"> ל</w:t>
      </w:r>
      <w:hyperlink r:id="rId23" w:history="1">
        <w:r w:rsidRPr="000905FE">
          <w:rPr>
            <w:rStyle w:val="Hyperlink"/>
            <w:rFonts w:ascii="Times New Roman" w:eastAsia="MS Mincho" w:hAnsi="Times New Roman" w:cs="FrankRuehl"/>
            <w:szCs w:val="24"/>
            <w:rtl/>
          </w:rPr>
          <w:t>חוק ההגבלים העסקיים</w:t>
        </w:r>
      </w:hyperlink>
      <w:r>
        <w:rPr>
          <w:rFonts w:ascii="Times New Roman" w:eastAsia="MS Mincho" w:hAnsi="Times New Roman" w:cs="FrankRuehl"/>
          <w:szCs w:val="24"/>
          <w:rtl/>
          <w:lang w:eastAsia="en-US"/>
        </w:rPr>
        <w:t>, תשי"ט-1959, בכך שהתקשרו ביניהם ב"הסדר כובל" ולא רשמו אותו במרשם הסדרים כובלים המנוהל על-ידי הממונה על הגבלים עסקיים, ולא הגישו למועצת ההגבלים העסקיים בקשה למתן החלטה על ההסדר שלהם.</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המערערים הכחישו בטיעונם את כל פרטי כתב-האישום, ובתוכם הטענה שלא רשמו את ההסדר הכובל ולא הגישו בקשה למועצה שתחליט עליו. התביעה הכללית עמלה רבות כדי להוכיח את עצם ההתקשרות בין המערערים ואת אפיו הכובל של ההסדר אש הונהג על- פי התקשרותם, והיא גם הצליחה במשימה זו. דא עקא שהיא לא הביאה ראיות להוכחת הטענה שהמערערים לא רשמו את ההסדר אצל הממונה ולא ביקשו מהמועצה להחליט עליו.</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בהעדר הוכחה לענין זה החליט שופט השלום המלומד לזכות את המערערים וכך אמר:</w:t>
      </w:r>
      <w:r>
        <w:rPr>
          <w:rFonts w:ascii="Times New Roman" w:eastAsia="MS Mincho" w:hAnsi="Times New Roman" w:cs="FrankRuehl"/>
          <w:color w:val="FFFFFF"/>
          <w:sz w:val="4"/>
          <w:szCs w:val="4"/>
          <w:rtl/>
          <w:lang w:eastAsia="en-US"/>
        </w:rPr>
        <w:t>ו</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br w:type="page"/>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"העבירה לפי סעיף 18 של </w:t>
      </w:r>
      <w:hyperlink r:id="rId24" w:history="1">
        <w:r w:rsidRPr="000905FE">
          <w:rPr>
            <w:rStyle w:val="Hyperlink"/>
            <w:rFonts w:ascii="Times New Roman" w:eastAsia="MS Mincho" w:hAnsi="Times New Roman" w:cs="FrankRuehl"/>
            <w:szCs w:val="24"/>
            <w:rtl/>
          </w:rPr>
          <w:t>חוק ההגבלים העסקיים</w:t>
        </w:r>
      </w:hyperlink>
      <w:r>
        <w:rPr>
          <w:rFonts w:ascii="Times New Roman" w:eastAsia="MS Mincho" w:hAnsi="Times New Roman" w:cs="FrankRuehl"/>
          <w:szCs w:val="24"/>
          <w:rtl/>
          <w:lang w:eastAsia="en-US"/>
        </w:rPr>
        <w:t>, תשי"ט-1959, היא עבירה של אי-רישום. בכתב-האישום נטען כי הנאשמים לא רשמו את ההסדר הכובל.</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הנאשמים כפרו בכל העובדות אשר בכתב-האישום ועל-כן נחשבת כמוכחשת אף הטענה של העדר רישום...."</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ולמטה מזה הוסיף:</w:t>
      </w:r>
      <w:r>
        <w:rPr>
          <w:rFonts w:ascii="Times New Roman" w:eastAsia="MS Mincho" w:hAnsi="Times New Roman" w:cs="FrankRuehl"/>
          <w:color w:val="FFFFFF"/>
          <w:sz w:val="4"/>
          <w:szCs w:val="4"/>
          <w:rtl/>
          <w:lang w:eastAsia="en-US"/>
        </w:rPr>
        <w:t>נ</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אין ספק שיש הבדל בחובת הראיה כאשר מדובר בהוכחתה של עובדה בעלת אופי שלילי או עובדה המצויה בגדר ידיעתו המיוחדת של אחד הצדדים, אולם למרות זאת נשמר תמיד העקרון כי נטל השכנוע רובץ על בעל-הדין הטוען טענה המהווה חלק מעילתו, בין שזו עובדה בעלת אופי חיובי ובין בעלת אופי שלילי (ראה בקשר לכך ספרו של הרנון על דיני ראיות, חלק 1, ע'234)...</w:t>
      </w: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התוצאה היא שלא הוכח לפני אחד מיסודות העבירה ורק מסיבה זו יש לזכות את הנאשמים."</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התביעה הכללית ערערה על הזיכוי לפני בית-המשפט המחוזי בתל-אביב-יפו ושם נהפכה הקערה על-פיה. השופטים המלומדים החליטו לקבל את הערעור ולהרשיע את המערערים בעבירה שפורטה בכתב-האישום, ואת טעמיהם לכך הסבירו כדלקמן:</w:t>
      </w:r>
      <w:r>
        <w:rPr>
          <w:rFonts w:ascii="Times New Roman" w:eastAsia="MS Mincho" w:hAnsi="Times New Roman" w:cs="FrankRuehl"/>
          <w:color w:val="FFFFFF"/>
          <w:sz w:val="4"/>
          <w:szCs w:val="4"/>
          <w:rtl/>
          <w:lang w:eastAsia="en-US"/>
        </w:rPr>
        <w:t>ב</w:t>
      </w:r>
    </w:p>
    <w:p w:rsidR="000905FE" w:rsidRDefault="000905FE">
      <w:pPr>
        <w:pStyle w:val="PlainText"/>
        <w:spacing w:line="260" w:lineRule="exact"/>
        <w:jc w:val="both"/>
        <w:rPr>
          <w:rFonts w:ascii="Times New Roman" w:eastAsia="MS Mincho" w:hAnsi="Times New Roman" w:cs="FrankRuehl"/>
          <w:szCs w:val="24"/>
          <w:rtl/>
          <w:lang w:eastAsia="en-US"/>
        </w:rPr>
      </w:pPr>
    </w:p>
    <w:p w:rsidR="000905FE" w:rsidRDefault="000905FE">
      <w:pPr>
        <w:pStyle w:val="PlainText"/>
        <w:spacing w:line="26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"נקודה זו (דהיינו שלא היה רישום של הסדר כובל - ש'א') לא עמדה במרכז הדיון וברור שהתביעה לא היתה יכולה להיות מוכנה לה אחרי שהמשיבים בהודעותיהם בפני החוקרים לא העלו טענה זו כלל אלא טענו דברים אחרים לגמרי כגון זו שעיסוקם אינו מהווה קרטל, או שחל עליהם החריג של סעיף 6 משום שיש להם פטנט או זכות קנינית אחרת. אפילו כשהמשיבים טענו בתום ראיות התביעה, שאין להם למה להשיב, לא העלו נקודה זו. אנו סוברים שעובדת הרישום זו טענה אשר בדרך כלל המשיבים צריכים להוכיחה ומה גם בנסיבות ענין זה."</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המערערים ביקשו רשות לערער על פסק-דינו של בית-המשפט המחוזי ואכן קיבלו רשות מוגבלת לשם בירור שאלה אחת בלבד:</w:t>
      </w:r>
      <w:r>
        <w:rPr>
          <w:rFonts w:ascii="Times New Roman" w:eastAsia="MS Mincho" w:hAnsi="Times New Roman" w:cs="FrankRuehl"/>
          <w:color w:val="FFFFFF"/>
          <w:sz w:val="4"/>
          <w:szCs w:val="4"/>
          <w:rtl/>
          <w:lang w:eastAsia="en-US"/>
        </w:rPr>
        <w:t>ו</w:t>
      </w:r>
      <w:r>
        <w:rPr>
          <w:rFonts w:ascii="Times New Roman" w:eastAsia="MS Mincho" w:hAnsi="Times New Roman" w:cs="FrankRuehl"/>
          <w:szCs w:val="24"/>
          <w:rtl/>
          <w:lang w:eastAsia="en-US"/>
        </w:rPr>
        <w:t xml:space="preserve"> "אם צדק בית-המשפט המחוזי בקביעתו שהחובה להוכיח את הרישום חלה על הנאשמים, או שמא היה על המדינה להוכיח אי-רישום ההסדר הכובל".</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כלל הוא במשפט פלילי - להוציא מקרים שלגביהם נקבע אחרת בחוק חרות - שעל התביעה הכללית להוכיח את כל היסודות של העבירה שבכתב-האישום, בין אם הם יסודות חיוביים ובין אם הם יסודות שליליים. כלל זה מבוסס על חזקת חפותו של נאשם כל עוד לא הוכחה אשמתו. ב-</w:t>
      </w:r>
      <w:hyperlink r:id="rId25" w:history="1">
        <w:r w:rsidR="00CA3163" w:rsidRPr="00CA3163">
          <w:rPr>
            <w:rStyle w:val="Hyperlink"/>
            <w:rFonts w:ascii="Times New Roman" w:eastAsia="MS Mincho" w:hAnsi="Times New Roman" w:cs="FrankRuehl"/>
            <w:szCs w:val="24"/>
            <w:rtl/>
          </w:rPr>
          <w:t>ע"פ 28/49</w:t>
        </w:r>
      </w:hyperlink>
      <w:r>
        <w:rPr>
          <w:rFonts w:ascii="Times New Roman" w:eastAsia="MS Mincho" w:hAnsi="Times New Roman" w:cs="FrankRuehl"/>
          <w:szCs w:val="24"/>
          <w:rtl/>
          <w:lang w:eastAsia="en-US"/>
        </w:rPr>
        <w:t xml:space="preserve"> (ענין זרקא), [1], התייחס בית-המשפט העליון, בין היתר, להוכחתם של יסודות שליליים של עבירה וכך סוכמה שם ההלכה (בע' 529):</w:t>
      </w:r>
      <w:r>
        <w:rPr>
          <w:rFonts w:ascii="Times New Roman" w:eastAsia="MS Mincho" w:hAnsi="Times New Roman" w:cs="FrankRuehl"/>
          <w:color w:val="FFFFFF"/>
          <w:sz w:val="4"/>
          <w:szCs w:val="4"/>
          <w:rtl/>
          <w:lang w:eastAsia="en-US"/>
        </w:rPr>
        <w:t>נ</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br w:type="page"/>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"מבחינת חובת הראיה (אותה אנו נוהגים לכנות כעת ,נטל השכנוע' ש'א') המוטלת עד הסוף על הקטיגוריה, הרי ברור - וכבר אמרנו וחזרנו ואמרנו זאת - כי עליה להוכיח במידה הנעלה מכל ספק המתקבל על הדעת את קיום כל היסודות המהווים את העבירה הנדונה, לרבות איפוא כל אלמנט שליל הכרוך בה. משום כך, בשלב הראשון חייבת היא לפתוח בפרשת ההוכחות ולהביא עדות המספיקה לכאורה - על פי המבחן שהוגדר על ידינו - כדי הוכחת קיום העובדה השלילית הנדונה. ברם, בבואנו למדוד את כמות העדות הנחוצה כדי להוות ,הוכחה לכאורה', אזי תהא השפעה לעובדה, שהיסוד הנדון הוא בעל אופי נגטיבי ושמציאותו או אי מציאותו נתונה בידיעה המיוחדת של הנאשם.</w:t>
      </w: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רצוננו לומר:</w:t>
      </w:r>
      <w:r>
        <w:rPr>
          <w:rFonts w:ascii="Times New Roman" w:eastAsia="MS Mincho" w:hAnsi="Times New Roman" w:cs="FrankRuehl"/>
          <w:color w:val="FFFFFF"/>
          <w:sz w:val="4"/>
          <w:szCs w:val="4"/>
          <w:rtl/>
          <w:lang w:eastAsia="en-US"/>
        </w:rPr>
        <w:t>ב</w:t>
      </w:r>
      <w:r>
        <w:rPr>
          <w:rFonts w:ascii="Times New Roman" w:eastAsia="MS Mincho" w:hAnsi="Times New Roman" w:cs="FrankRuehl"/>
          <w:szCs w:val="24"/>
          <w:rtl/>
          <w:lang w:eastAsia="en-US"/>
        </w:rPr>
        <w:t xml:space="preserve"> במסיבות כגון אלה תהא כמות העדות הנדרשת, לשם קיום חובת ההוכחה הטפלה (מס' 2) (חובה זו אנו נוהגים לכנות כעת נטל הבאת הראיות - ש'א') המוטלת על הקטיגוריה בשלב הראשון של הדיון, פחותה ממידת החומר העובדתי אשר היא חייבת להמציא אז לגבי יסודות בעלי תכונות ,חיוביות'."</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עורך-הדין י' הורביץ, נציגו המלומד של היועץ המשפטי שהופיע לפנינו בערעור זה, לא חלק על כך שנטל השכנוע בשאלת "אי-רישום ההסדר הכובל" ו"אי-הגשת בקשה לאישורה של המועצה" היה מוטל על התביעה הכללית, ואנו מסכימים לדעתו. בכך אנו עונים על השאלה שהועמדה לדיון בהחלטה אשר העניקה למערערים רשות ערעור, כאמור לעיל. אך בכך לא סגי. עורך-הדין הורביץ מצא לנכון לתמוך בפסק-דינו של בית-המשפט המחוזי בטענה כי התביעה הכללית אכן הרימה את נטל הבאת הראיות שהיה מונח עליה. לדבריו כמות הראיות שנדרשה במקרה דנן מהתביעה הכללית היתה מזערית והוכחות בכמות כזאת הובאו לפני בית-המשפט.</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אכן נכון שמשנדרשה התביעה הכללית להוכיח עובדה בעלת אופי שלילי שידועה במיוחד לנאשם, אזי כמות ההוכחה הנדרשת ממנה היא פחותה מן הרגיל, אם כי קשה להסכים לכינוי "מזערי" - שבו השתמש עורך-הדין הורביץ. בספרו של הפרופסור הרנון, דיני ראיות, חלק ראשון, בע' 203 נאמר לענין זה:</w:t>
      </w:r>
      <w:r>
        <w:rPr>
          <w:rFonts w:ascii="Times New Roman" w:eastAsia="MS Mincho" w:hAnsi="Times New Roman" w:cs="FrankRuehl"/>
          <w:color w:val="FFFFFF"/>
          <w:sz w:val="4"/>
          <w:szCs w:val="4"/>
          <w:rtl/>
          <w:lang w:eastAsia="en-US"/>
        </w:rPr>
        <w:t>ו</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"עובדה בעלת אופי שלילי אינה מעבירה.... את הנטל העיקרי, נטל השכנוע, אך יש לה השפעה על הרמת הנטל המשני, נטל הבאת הראיות. הנושא בנטל השכנוע צריך לפתוח בהבאת ראיות לכאורה אולם בגלל היות העובדה בעלת אופי שלילי - ולכן קשה להוכחה - יסתפק בית המשפט בכמות פחותה של ראיות להרמת נטל הבאת הראיות והעברתו אל הצד שכנגד. בדרך כלל, קל יותר לצד שכנגד להוכיח עובדה זו, היינו את האספקט החיובי שבטענה."</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ועוד:</w:t>
      </w:r>
      <w:r>
        <w:rPr>
          <w:rFonts w:ascii="Times New Roman" w:eastAsia="MS Mincho" w:hAnsi="Times New Roman" w:cs="FrankRuehl"/>
          <w:color w:val="FFFFFF"/>
          <w:sz w:val="4"/>
          <w:szCs w:val="4"/>
          <w:rtl/>
          <w:lang w:eastAsia="en-US"/>
        </w:rPr>
        <w:t>נ</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"עובדה אשר מנקודת מבטו של צד אחד היא בעלת אופי שלילי, נמצאת לרוב בידיעתו המיוחדת של הצד שכנגד."</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br w:type="page"/>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עינינו הרואות שההצדקה להפחתת כמות הראיות להוכחת עובדה שלילית היא בשניים אלה:</w:t>
      </w:r>
      <w:r>
        <w:rPr>
          <w:rFonts w:ascii="Times New Roman" w:eastAsia="MS Mincho" w:hAnsi="Times New Roman" w:cs="FrankRuehl"/>
          <w:color w:val="FFFFFF"/>
          <w:sz w:val="4"/>
          <w:szCs w:val="4"/>
          <w:rtl/>
          <w:lang w:eastAsia="en-US"/>
        </w:rPr>
        <w:t>ב</w:t>
      </w:r>
      <w:r>
        <w:rPr>
          <w:rFonts w:ascii="Times New Roman" w:eastAsia="MS Mincho" w:hAnsi="Times New Roman" w:cs="FrankRuehl"/>
          <w:szCs w:val="24"/>
          <w:rtl/>
          <w:lang w:eastAsia="en-US"/>
        </w:rPr>
        <w:t xml:space="preserve"> א. שהעובדה היא בתחום ידיעתו המיוחדת של הנאשם ו-ב. שמבחינה אובייקטיבית קשה לתביעה הכללית להוכיח את העובדה. בצדק טוען בא-כוח המערערים, ד"ר א' גולדנברג, ששני הטעמים האלה אינם קיימים במקרה דנן. מדובר כאן ברישומו של הסדר כובל ועובדת רישומו או אי-רישומו ידועה במידה שווה למערערים ולתביעה הכללית:</w:t>
      </w:r>
      <w:r>
        <w:rPr>
          <w:rFonts w:ascii="Times New Roman" w:eastAsia="MS Mincho" w:hAnsi="Times New Roman" w:cs="FrankRuehl"/>
          <w:color w:val="FFFFFF"/>
          <w:sz w:val="4"/>
          <w:szCs w:val="4"/>
          <w:rtl/>
          <w:lang w:eastAsia="en-US"/>
        </w:rPr>
        <w:t>ו</w:t>
      </w:r>
      <w:r>
        <w:rPr>
          <w:rFonts w:ascii="Times New Roman" w:eastAsia="MS Mincho" w:hAnsi="Times New Roman" w:cs="FrankRuehl"/>
          <w:szCs w:val="24"/>
          <w:rtl/>
          <w:lang w:eastAsia="en-US"/>
        </w:rPr>
        <w:t xml:space="preserve"> - למערערים מפני שהחובה לרשום את ההסדר היתה מוטלת עליהם והם בוודאי יודעים אם עשו את הדרוש כדי לרשמו; ולתביעה הכללית מפני שהרישום נעשה אצל "הממונה", שהוא פקיד ממשלתי, ואין כל קושי למצוא בפנקסיו אם נרשם הסדר ובל מסויים אם לאו. אילו היתה התביעה הכללית ערה לחובתה יכלה, ללא כל קושי, להעיד את הממונה או את עובד משרדו האחראי על הרישומים כדי להוכיח אי-קיומו של רישום, ואותו דבר חל גם על הפניה, או העדר הפניה, אל המועצה.</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(באמרת-אגב הפנה עורך-הדין הורביץ את תשומת לבנו לכך שהפסיקה האנגלית נוטה להטיל על הנאשם את נטל שכנוע בשאלה אם יש לו רשיון, או אישור המתירים לו לעסוק בעיסוקו. הוא רמז בדבריו שרצוי כי גם אנו נפסוק כך, אך אנו דוחים רמז זה. ההלכה האנגלית לא נתקבלה בארץ והיא אף נדחתה במפורש ב-</w:t>
      </w:r>
      <w:hyperlink r:id="rId26" w:history="1">
        <w:r w:rsidR="00CA3163" w:rsidRPr="00CA3163">
          <w:rPr>
            <w:rStyle w:val="Hyperlink"/>
            <w:rFonts w:ascii="Times New Roman" w:eastAsia="MS Mincho" w:hAnsi="Times New Roman" w:cs="FrankRuehl"/>
            <w:szCs w:val="24"/>
            <w:rtl/>
          </w:rPr>
          <w:t>ע"פ 52/63</w:t>
        </w:r>
      </w:hyperlink>
      <w:r>
        <w:rPr>
          <w:rFonts w:ascii="Times New Roman" w:eastAsia="MS Mincho" w:hAnsi="Times New Roman" w:cs="FrankRuehl"/>
          <w:szCs w:val="24"/>
          <w:rtl/>
          <w:lang w:eastAsia="en-US"/>
        </w:rPr>
        <w:t>, [2]. שם נאמר מפי השופט ח' כהן (בע' 1088):</w:t>
      </w:r>
      <w:r>
        <w:rPr>
          <w:rFonts w:ascii="Times New Roman" w:eastAsia="MS Mincho" w:hAnsi="Times New Roman" w:cs="FrankRuehl"/>
          <w:color w:val="FFFFFF"/>
          <w:sz w:val="4"/>
          <w:szCs w:val="4"/>
          <w:rtl/>
          <w:lang w:eastAsia="en-US"/>
        </w:rPr>
        <w:t>נ</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"כבר נזדמן לו לבית-משפט זה מפי מ"מ הנשיא השופט אגרנט, להסתייג מפסיקה אנגלית זו, </w:t>
      </w:r>
      <w:hyperlink r:id="rId27" w:history="1">
        <w:r w:rsidR="00CA3163" w:rsidRPr="00CA3163">
          <w:rPr>
            <w:rStyle w:val="Hyperlink"/>
            <w:rFonts w:ascii="Times New Roman" w:eastAsia="MS Mincho" w:hAnsi="Times New Roman" w:cs="FrankRuehl"/>
            <w:szCs w:val="24"/>
            <w:rtl/>
            <w:lang w:eastAsia="en-US"/>
          </w:rPr>
          <w:t>ע"פ 156/58, פד"י כ</w:t>
        </w:r>
      </w:hyperlink>
      <w:r>
        <w:rPr>
          <w:rFonts w:ascii="Times New Roman" w:eastAsia="MS Mincho" w:hAnsi="Times New Roman" w:cs="FrankRuehl"/>
          <w:szCs w:val="24"/>
          <w:rtl/>
          <w:lang w:eastAsia="en-US"/>
        </w:rPr>
        <w:t>רך יג, ע' 651, 662, [3], וכשלעצמי אין אני מוכן ללכת בעקבותיה. יש והחוק מטיל חובת הראיה בכגון דא על הנאשם.... אבל מקום והעדר רשיון, או העדר סיבה מספקת, או אי-קיום תנאי מוקדם כלשהו, הם מיסודות העבירה, והחוק אינו מטיל על הנאשם את חובת הראיה על קיומם - הרי בלעדי הוכחתם על-ידי התביעה</w:t>
      </w: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הכללית לא הוכח מעשה העבירה (</w:t>
      </w:r>
      <w:r>
        <w:rPr>
          <w:rFonts w:ascii="Times New Roman" w:eastAsia="MS Mincho" w:hAnsi="Times New Roman" w:cs="FrankRuehl"/>
          <w:szCs w:val="24"/>
          <w:lang w:eastAsia="en-US"/>
        </w:rPr>
        <w:t>ACTUS REUS</w:t>
      </w:r>
      <w:r>
        <w:rPr>
          <w:rFonts w:ascii="Times New Roman" w:eastAsia="MS Mincho" w:hAnsi="Times New Roman" w:cs="FrankRuehl"/>
          <w:szCs w:val="24"/>
          <w:rtl/>
          <w:lang w:eastAsia="en-US"/>
        </w:rPr>
        <w:t xml:space="preserve">), והנאשם זכאי בדינו (ראה גם </w:t>
      </w:r>
      <w:hyperlink r:id="rId28" w:history="1">
        <w:r w:rsidR="00CA3163" w:rsidRPr="00CA3163">
          <w:rPr>
            <w:rStyle w:val="Hyperlink"/>
            <w:rFonts w:ascii="Times New Roman" w:eastAsia="MS Mincho" w:hAnsi="Times New Roman" w:cs="FrankRuehl"/>
            <w:szCs w:val="24"/>
            <w:rtl/>
          </w:rPr>
          <w:t>ע"פ 132/57</w:t>
        </w:r>
      </w:hyperlink>
      <w:r>
        <w:rPr>
          <w:rFonts w:ascii="Times New Roman" w:eastAsia="MS Mincho" w:hAnsi="Times New Roman" w:cs="FrankRuehl"/>
          <w:szCs w:val="24"/>
          <w:rtl/>
          <w:lang w:eastAsia="en-US"/>
        </w:rPr>
        <w:t>, פד"י, כרך יא, ע' 1544, 1550, [4])."</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טוען עורך-הדין הורביץ שבמקרה שלפנינו הובאו על-ידי התביעה הכללית ראיות מספיקות שמתוכן יכול היה בית-המשפט להסיק כי ההסדר הכובל הנדון לא נרשם, ואף בקשה למועצה לאישורו של ההסדר לא הוגשה. הכיצד? אומר ה' הורביץ שהמערערים נחקרו לפני המשפט על-ידי חוקרים מטעם הממונה והם גם העידו במהלך המשפט, ובכל ההזדמנויות האלה לא העלו אף פעם את הטענה  שההסדר הכובל נרשם על-ידם כדרוש ושהגישו בקשה מתאימה למועצה לצורך אישורו. מהתנהגותם זו יכול היה בית-המשפט להסיק כי המערערים לא רשמו את ההסדר ולא ביקשו לאשרו - משמע שהיה לפני שופט השלום חומר ראיה מספיק ובכך יצאה התביעה הכללית ידי חובתה. יתירה מזו - כך נאמר לנו - משנרשם הסדר כובל חייב הממונה לפרסם הודעה על כך, והודעות כלה אכן מתפרסמות מדי פעם בילקוט הפרסומים; חזקה על הממונה שהוא ממלא את תפקידו כהלכה ולכן ניתן לבדוק את ההודעות שהופיעו בילקוט הפרסומים, ומהעדרו של פרסום מותר לשופט להסיק שההסדר לא נרשם.</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br w:type="page"/>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יתכן ששופט השלום יכול היה לקבוע שהתנהגות המערערים היתה ברורה וחד-משמעית עד כדי כך שאין להתחשב בהכחשתם ולראותם כמי שהודו באי-רישום ההסדר הכובל ובאי-הגשת בקשה לאישורו, אך אין לומר שהוא חייב היה לנהוג כך. הערכת התנהגותו של נאשם והסקת מסקנות מהתנהגות זאת נתונה בראש וראשונה בידי הערכאה הראשונה שלפניה מופיע אותו נאשם, וערכאת הערעור תתערב במלאכתו רק לעתים רחוקות ביותר ובמקרים יוצאים-מן-הכלל. במקרה זה לא הסיק שופט השלום המלומד מהתנהגות המערערים מסקנה כפי שמתבקשת על-ידי ה' הורביץ ואין אנו מוכנים לומר שבכך הוא טעה. אשר לטענתו האחרת של ה' הורביץ המתייחסת להודעות המתפרסמות בילקוט הפרסומים, אפשר היה לדון בה אילו הוגשו לשופט השלום קבצי רשימות מתאימים, ואילו הופנתה תשומת לבו לפרסומים, או לעדר פרסומים הנוגדים להתקשרות המערערים. בפסק-דינו של שופט השלום המלומד אנו מוצאים הד לענין זה כשהוא אומר:</w:t>
      </w:r>
      <w:r>
        <w:rPr>
          <w:rFonts w:ascii="Times New Roman" w:eastAsia="MS Mincho" w:hAnsi="Times New Roman" w:cs="FrankRuehl"/>
          <w:color w:val="FFFFFF"/>
          <w:sz w:val="4"/>
          <w:szCs w:val="4"/>
          <w:rtl/>
          <w:lang w:eastAsia="en-US"/>
        </w:rPr>
        <w:t>ב</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ind w:left="567"/>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"לא הופנתה תשומת לבי לפרסום או אי-פרסום ברשומות בענין זה. ואת עצם הגשת הבקשה לרישום או למתן החלטה לא אוכל לדעת ללא ראיות מתאימות."</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טוען ה' הורביץ שהמודעות המופיעות בילקוט הפרסומים מהוות חלק מידיעתו השיפוטית של השופט, ולכן חייב היה שופט השלום להשתמש בידיעה זו ולקבוע על-פיה את העובדה שההסדר נשוא הערעור לא נרשם. אנו דוחים טענה זו. המודעות המתפרסמות על-ידי הממונה אינן בגדר דין ובית-המשפט אינו חייב לדעת אותן. אילו עיין שופט השלום בילקוט הפרסומים, יכול היה להיווכח אם פורסמה הודעה מסויימת מטעם הממונה, אך אין לומר שהוא חייב היה לנהוג כך מיזמתו ומבלי שנתבקש לעשות דבר שכזה. יתירה מזו - ספק בלבנו אם צריך שופט, הדן במשפט פלילי, ליצור ולהוסיף מיזמתו ראיה הנחוצה לצורך הרשעתו של נאשם ולא הוגשה על-ידי הקטיגוריה. די בכך כדי לדחות טענתו שלה' הורביץ ולכן לא ניכנס לדיון בשאלה אם יש בהעדר הודעה בילקוט הפרסומים כדי להודות שהסדר כובל מסויים לא נרשם.</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לבסוף ניסה ה' הורביץ לשכנענו שאנו בערכאת הערעור נמלא את החסר בראיות התביעה הכללית ונקבע על-פי העיון בילקוטי הפרסומים משנת תש"ל ותשל"א כי קיימת הוכחה לכאורה שההסדר הכובל הנדון לא נרשם כדרוש. זוהי פניה מוזרה כשהיא באה בשלב זה של ההליכים, ואנו החלטנו לדחותה.</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התוצאה מכל האמור שיש לקבל את ערעורם של המערערים על פסק-דינו של בית-המשפט המחוזי ולהחזיר לתקפו את פסק-דינו של בית-משפט השלום.</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השופט אלון:</w:t>
      </w:r>
      <w:r>
        <w:rPr>
          <w:rFonts w:ascii="Times New Roman" w:eastAsia="MS Mincho" w:hAnsi="Times New Roman" w:cs="FrankRuehl"/>
          <w:color w:val="FFFFFF"/>
          <w:sz w:val="4"/>
          <w:szCs w:val="4"/>
          <w:rtl/>
          <w:lang w:eastAsia="en-US"/>
        </w:rPr>
        <w:t>ו</w:t>
      </w:r>
      <w:r>
        <w:rPr>
          <w:rFonts w:ascii="Times New Roman" w:eastAsia="MS Mincho" w:hAnsi="Times New Roman" w:cs="FrankRuehl"/>
          <w:szCs w:val="24"/>
          <w:rtl/>
          <w:lang w:eastAsia="en-US"/>
        </w:rPr>
        <w:t xml:space="preserve"> אני מסכים.</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השופט לוין: אני מסכים, בכפוף להערה אחת:</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br w:type="page"/>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השאלה אם הפרסום ברשומות הוא בחינת "דין", שהוא מן המפורסמות שאינן צריכות ראיה, לענין אמיתות תכנו, התעוררה ב-</w:t>
      </w:r>
      <w:hyperlink r:id="rId29" w:history="1">
        <w:r w:rsidR="00CA3163" w:rsidRPr="00CA3163">
          <w:rPr>
            <w:rStyle w:val="Hyperlink"/>
            <w:rFonts w:ascii="Times New Roman" w:eastAsia="MS Mincho" w:hAnsi="Times New Roman" w:cs="FrankRuehl"/>
            <w:szCs w:val="24"/>
            <w:rtl/>
          </w:rPr>
          <w:t>ע"א 135/63</w:t>
        </w:r>
      </w:hyperlink>
      <w:r>
        <w:rPr>
          <w:rFonts w:ascii="Times New Roman" w:eastAsia="MS Mincho" w:hAnsi="Times New Roman" w:cs="FrankRuehl"/>
          <w:szCs w:val="24"/>
          <w:rtl/>
          <w:lang w:eastAsia="en-US"/>
        </w:rPr>
        <w:t xml:space="preserve">, [5], ולא הוכרעה; אף בעניננו אין צורך להכריע בה מן הטעמים הבאים: ראשית, העובדה שלא היה פרסום כאמור </w:t>
      </w:r>
      <w:hyperlink r:id="rId30" w:history="1">
        <w:r w:rsidR="00ED6AF9" w:rsidRPr="00ED6AF9">
          <w:rPr>
            <w:rFonts w:ascii="Times New Roman" w:eastAsia="MS Mincho" w:hAnsi="Times New Roman" w:cs="FrankRuehl"/>
            <w:color w:val="0000FF"/>
            <w:szCs w:val="24"/>
            <w:u w:val="single"/>
            <w:rtl/>
            <w:lang w:eastAsia="en-US"/>
          </w:rPr>
          <w:t>בסעיף 23</w:t>
        </w:r>
      </w:hyperlink>
      <w:r>
        <w:rPr>
          <w:rFonts w:ascii="Times New Roman" w:eastAsia="MS Mincho" w:hAnsi="Times New Roman" w:cs="FrankRuehl"/>
          <w:szCs w:val="24"/>
          <w:rtl/>
          <w:lang w:eastAsia="en-US"/>
        </w:rPr>
        <w:t xml:space="preserve"> לחוק אינה מלמדת בהכרח שהמערערים לא רשמו את ההסדר במרשם, כמצוות סעיף </w:t>
      </w:r>
      <w:hyperlink r:id="rId31" w:history="1">
        <w:r w:rsidR="00ED6AF9" w:rsidRPr="00ED6AF9">
          <w:rPr>
            <w:rFonts w:ascii="Times New Roman" w:eastAsia="MS Mincho" w:hAnsi="Times New Roman" w:cs="FrankRuehl"/>
            <w:color w:val="0000FF"/>
            <w:szCs w:val="24"/>
            <w:u w:val="single"/>
            <w:rtl/>
            <w:lang w:eastAsia="en-US"/>
          </w:rPr>
          <w:t>18 (א)</w:t>
        </w:r>
      </w:hyperlink>
      <w:r>
        <w:rPr>
          <w:rFonts w:ascii="Times New Roman" w:eastAsia="MS Mincho" w:hAnsi="Times New Roman" w:cs="FrankRuehl"/>
          <w:szCs w:val="24"/>
          <w:rtl/>
          <w:lang w:eastAsia="en-US"/>
        </w:rPr>
        <w:t>; חזקת הכשרות למעשי המינהל, לה טען פרקליט המשיבה, כבודה במקומה מונח, אך היא מתייחסת למעשה שנעשה ולא למעשה שלא נעשה; לא ידעתי על קיום חזקה הקובעת שפעולת המינהל שלא נעשתה חזקה עליה שלא היתה צריכה להיעשות; שנית, השאלה אם היה או לא היה פרסום ברשומות בדבר הסדר כובל לא התעוררה בבתי-המשפט שקדמו לנו, ומכוח שיקול-הדעת המוקנה לנו, לא ראיתי להיזקק לה בערעור שני.</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szCs w:val="24"/>
          <w:rtl/>
          <w:lang w:eastAsia="en-US"/>
        </w:rPr>
        <w:t xml:space="preserve"> הוחלט כאמור בפסק-דינו של השופט אשר.</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color w:val="FFFFFF"/>
          <w:sz w:val="4"/>
          <w:szCs w:val="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r>
        <w:rPr>
          <w:rFonts w:ascii="Times New Roman" w:eastAsia="MS Mincho" w:hAnsi="Times New Roman" w:cs="FrankRuehl"/>
          <w:color w:val="FFFFFF"/>
          <w:sz w:val="4"/>
          <w:szCs w:val="4"/>
          <w:rtl/>
          <w:lang w:eastAsia="en-US"/>
        </w:rPr>
        <w:t>5129371</w:t>
      </w:r>
      <w:r>
        <w:rPr>
          <w:rFonts w:ascii="Times New Roman" w:eastAsia="MS Mincho" w:hAnsi="Times New Roman" w:cs="FrankRuehl"/>
          <w:szCs w:val="24"/>
          <w:rtl/>
          <w:lang w:eastAsia="en-US"/>
        </w:rPr>
        <w:t xml:space="preserve"> ניתן היום, י' בסיון תשל"ח (</w:t>
      </w:r>
      <w:r>
        <w:rPr>
          <w:rStyle w:val="a6"/>
          <w:rFonts w:eastAsia="MS Mincho" w:cs="FrankRuehl"/>
          <w:color w:val="auto"/>
          <w:szCs w:val="24"/>
          <w:rtl/>
        </w:rPr>
        <w:t>15.6.1978</w:t>
      </w:r>
      <w:r>
        <w:rPr>
          <w:rFonts w:ascii="Times New Roman" w:eastAsia="MS Mincho" w:hAnsi="Times New Roman" w:cs="FrankRuehl"/>
          <w:szCs w:val="24"/>
          <w:rtl/>
          <w:lang w:eastAsia="en-US"/>
        </w:rPr>
        <w:t>).</w:t>
      </w: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p w:rsidR="000905FE" w:rsidRDefault="000905FE">
      <w:pPr>
        <w:pStyle w:val="PlainText"/>
        <w:spacing w:line="280" w:lineRule="exact"/>
        <w:jc w:val="both"/>
        <w:rPr>
          <w:rFonts w:ascii="Times New Roman" w:eastAsia="MS Mincho" w:hAnsi="Times New Roman" w:cs="FrankRuehl"/>
          <w:szCs w:val="24"/>
          <w:rtl/>
          <w:lang w:eastAsia="en-US"/>
        </w:rPr>
      </w:pPr>
    </w:p>
    <w:sectPr w:rsidR="000905FE">
      <w:headerReference w:type="even" r:id="rId32"/>
      <w:headerReference w:type="default" r:id="rId33"/>
      <w:footerReference w:type="even" r:id="rId34"/>
      <w:footerReference w:type="default" r:id="rId35"/>
      <w:endnotePr>
        <w:numFmt w:val="lowerLetter"/>
      </w:endnotePr>
      <w:pgSz w:w="11906" w:h="16838"/>
      <w:pgMar w:top="1440" w:right="1701" w:bottom="1440" w:left="1701" w:header="709" w:footer="709" w:gutter="0"/>
      <w:pgNumType w:start="666"/>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708" w:rsidRDefault="00314708">
      <w:r>
        <w:separator/>
      </w:r>
    </w:p>
  </w:endnote>
  <w:endnote w:type="continuationSeparator" w:id="0">
    <w:p w:rsidR="00314708" w:rsidRDefault="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Ruehl">
    <w:panose1 w:val="020E0503060101010101"/>
    <w:charset w:val="B1"/>
    <w:family w:val="swiss"/>
    <w:pitch w:val="variable"/>
    <w:sig w:usb0="00000801" w:usb1="00000000" w:usb2="00000000" w:usb3="00000000" w:csb0="00000020" w:csb1="00000000"/>
  </w:font>
  <w:font w:name="TopType Jerushalmi">
    <w:charset w:val="B1"/>
    <w:family w:val="auto"/>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5FE" w:rsidRDefault="000905FE">
    <w:pPr>
      <w:pStyle w:val="Footer"/>
      <w:tabs>
        <w:tab w:val="clear" w:pos="4153"/>
        <w:tab w:val="clear" w:pos="8306"/>
        <w:tab w:val="right" w:pos="8504"/>
      </w:tabs>
      <w:spacing w:after="60"/>
      <w:jc w:val="left"/>
      <w:rPr>
        <w:rFonts w:hAnsi="FrankRuehl" w:cs="FrankRuehl"/>
        <w:sz w:val="22"/>
        <w:szCs w:val="22"/>
        <w:rtl/>
      </w:rPr>
    </w:pPr>
    <w:r>
      <w:rPr>
        <w:rFonts w:hAnsi="FrankRuehl" w:cs="FrankRuehl"/>
        <w:sz w:val="22"/>
        <w:szCs w:val="22"/>
        <w:rtl/>
      </w:rPr>
      <w:fldChar w:fldCharType="begin"/>
    </w:r>
    <w:r>
      <w:rPr>
        <w:rFonts w:hAnsi="FrankRuehl" w:cs="FrankRuehl"/>
        <w:sz w:val="22"/>
        <w:szCs w:val="22"/>
        <w:rtl/>
      </w:rPr>
      <w:instrText xml:space="preserve"> </w:instrText>
    </w:r>
    <w:r>
      <w:rPr>
        <w:rFonts w:hAnsi="FrankRuehl" w:cs="FrankRuehl"/>
        <w:sz w:val="22"/>
        <w:szCs w:val="22"/>
      </w:rPr>
      <w:instrText xml:space="preserve">PAGE </w:instrText>
    </w:r>
    <w:r>
      <w:rPr>
        <w:rFonts w:hAnsi="FrankRuehl" w:cs="FrankRuehl"/>
        <w:sz w:val="22"/>
        <w:szCs w:val="22"/>
        <w:rtl/>
      </w:rPr>
      <w:instrText xml:space="preserve"> \* </w:instrText>
    </w:r>
    <w:r>
      <w:rPr>
        <w:rFonts w:hAnsi="FrankRuehl" w:cs="FrankRuehl"/>
        <w:sz w:val="22"/>
        <w:szCs w:val="22"/>
      </w:rPr>
      <w:instrText>MERGEFORMAT</w:instrText>
    </w:r>
    <w:r>
      <w:rPr>
        <w:rFonts w:hAnsi="FrankRuehl" w:cs="FrankRuehl"/>
        <w:sz w:val="22"/>
        <w:szCs w:val="22"/>
        <w:rtl/>
      </w:rPr>
      <w:instrText xml:space="preserve"> </w:instrText>
    </w:r>
    <w:r>
      <w:rPr>
        <w:rFonts w:hAnsi="FrankRuehl" w:cs="FrankRuehl"/>
        <w:sz w:val="22"/>
        <w:szCs w:val="22"/>
        <w:rtl/>
      </w:rPr>
      <w:fldChar w:fldCharType="separate"/>
    </w:r>
    <w:r w:rsidR="00593302">
      <w:rPr>
        <w:rFonts w:hAnsi="FrankRuehl" w:cs="FrankRuehl"/>
        <w:noProof/>
        <w:sz w:val="22"/>
        <w:szCs w:val="22"/>
        <w:rtl/>
      </w:rPr>
      <w:t>666</w:t>
    </w:r>
    <w:r>
      <w:rPr>
        <w:rFonts w:hAnsi="FrankRuehl" w:cs="FrankRuehl"/>
        <w:sz w:val="22"/>
        <w:szCs w:val="22"/>
        <w:rtl/>
      </w:rPr>
      <w:fldChar w:fldCharType="end"/>
    </w:r>
    <w:r>
      <w:rPr>
        <w:rFonts w:hAnsi="FrankRuehl" w:cs="FrankRuehl"/>
        <w:sz w:val="22"/>
        <w:szCs w:val="22"/>
        <w:rtl/>
      </w:rPr>
      <w:tab/>
      <w:t>פסקי-דין, כרך לב, חלק שני , תשל"ח/תשל"ט 1978</w:t>
    </w:r>
  </w:p>
  <w:p w:rsidR="000905FE" w:rsidRDefault="000905FE">
    <w:pPr>
      <w:pStyle w:val="Footer"/>
      <w:pBdr>
        <w:top w:val="single" w:sz="4" w:space="1" w:color="auto"/>
        <w:between w:val="single" w:sz="4" w:space="0" w:color="auto"/>
      </w:pBdr>
      <w:tabs>
        <w:tab w:val="clear" w:pos="4153"/>
        <w:tab w:val="clear" w:pos="8306"/>
        <w:tab w:val="right" w:pos="8504"/>
      </w:tabs>
      <w:spacing w:after="60"/>
      <w:jc w:val="center"/>
      <w:rPr>
        <w:rFonts w:cs="TopType Jerushalmi"/>
        <w:sz w:val="28"/>
        <w:szCs w:val="22"/>
        <w:rtl/>
      </w:rPr>
    </w:pPr>
    <w:r>
      <w:rPr>
        <w:rFonts w:cs="TopType Jerushalmi"/>
        <w:sz w:val="28"/>
        <w:szCs w:val="22"/>
        <w:rtl/>
      </w:rPr>
      <w:t xml:space="preserve">נבו הוצאה לאור בע"מ  </w:t>
    </w:r>
    <w:r>
      <w:rPr>
        <w:rFonts w:cs="TopType Jerushalmi"/>
        <w:sz w:val="28"/>
        <w:szCs w:val="22"/>
      </w:rPr>
      <w:t>nevo.co.il</w:t>
    </w:r>
    <w:r>
      <w:rPr>
        <w:rFonts w:cs="TopType Jerushalmi"/>
        <w:sz w:val="28"/>
        <w:szCs w:val="22"/>
        <w:rtl/>
      </w:rPr>
      <w:t xml:space="preserve">   המאגר המשפטי הישראלי</w:t>
    </w:r>
  </w:p>
  <w:p w:rsidR="000905FE" w:rsidRDefault="000905FE">
    <w:pPr>
      <w:pStyle w:val="Footer"/>
      <w:pBdr>
        <w:top w:val="single" w:sz="4" w:space="1" w:color="auto"/>
        <w:between w:val="single" w:sz="4" w:space="0" w:color="auto"/>
      </w:pBdr>
      <w:tabs>
        <w:tab w:val="clear" w:pos="4153"/>
        <w:tab w:val="clear" w:pos="8306"/>
        <w:tab w:val="right" w:pos="8504"/>
      </w:tabs>
      <w:jc w:val="left"/>
      <w:rPr>
        <w:rFonts w:cs="TopType Jerushalmi"/>
        <w:sz w:val="14"/>
        <w:szCs w:val="14"/>
        <w:rtl/>
      </w:rPr>
    </w:pPr>
    <w:r>
      <w:rPr>
        <w:rFonts w:cs="TopType Jerushalmi"/>
        <w:sz w:val="14"/>
        <w:szCs w:val="14"/>
        <w:rtl/>
      </w:rPr>
      <w:fldChar w:fldCharType="begin"/>
    </w:r>
    <w:r>
      <w:rPr>
        <w:rFonts w:cs="TopType Jerushalmi"/>
        <w:sz w:val="14"/>
        <w:szCs w:val="14"/>
        <w:rtl/>
      </w:rPr>
      <w:instrText xml:space="preserve"> </w:instrText>
    </w:r>
    <w:r>
      <w:rPr>
        <w:rFonts w:cs="TopType Jerushalmi"/>
        <w:sz w:val="14"/>
        <w:szCs w:val="14"/>
      </w:rPr>
      <w:instrText>FILENAME \p  \* MERGEFORMAT</w:instrText>
    </w:r>
    <w:r>
      <w:rPr>
        <w:rFonts w:cs="TopType Jerushalmi"/>
        <w:sz w:val="14"/>
        <w:szCs w:val="14"/>
        <w:rtl/>
      </w:rPr>
      <w:instrText xml:space="preserve"> </w:instrText>
    </w:r>
    <w:r>
      <w:rPr>
        <w:rFonts w:cs="TopType Jerushalmi"/>
        <w:sz w:val="14"/>
        <w:szCs w:val="14"/>
        <w:rtl/>
      </w:rPr>
      <w:fldChar w:fldCharType="separate"/>
    </w:r>
    <w:r w:rsidR="00CA3163">
      <w:rPr>
        <w:rFonts w:cs="TopType Jerushalmi"/>
        <w:noProof/>
        <w:sz w:val="14"/>
        <w:szCs w:val="14"/>
      </w:rPr>
      <w:t>Z:\hakikato run\hakika final public\hakika\recieve all</w:t>
    </w:r>
    <w:r w:rsidR="00CA3163" w:rsidRPr="00CA3163">
      <w:rPr>
        <w:rFonts w:cs="TopType Jerushalmi"/>
        <w:noProof/>
        <w:sz w:val="14"/>
        <w:szCs w:val="14"/>
        <w:rtl/>
      </w:rPr>
      <w:t>\הרצה</w:t>
    </w:r>
    <w:r w:rsidR="00CA3163">
      <w:rPr>
        <w:rFonts w:cs="Times New Roman"/>
        <w:noProof/>
        <w:sz w:val="14"/>
        <w:szCs w:val="14"/>
        <w:rtl/>
      </w:rPr>
      <w:t xml:space="preserve"> לקישורים פסיקה וספרות\15\</w:t>
    </w:r>
    <w:r w:rsidR="00CA3163" w:rsidRPr="00CA3163">
      <w:rPr>
        <w:rFonts w:cs="Times New Roman"/>
        <w:noProof/>
        <w:sz w:val="14"/>
        <w:szCs w:val="14"/>
      </w:rPr>
      <w:t>LA-2-666-L.doc</w:t>
    </w:r>
    <w:r>
      <w:rPr>
        <w:rFonts w:cs="TopType Jerushalmi"/>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5FE" w:rsidRDefault="000905FE">
    <w:pPr>
      <w:pStyle w:val="Footer"/>
      <w:tabs>
        <w:tab w:val="clear" w:pos="4153"/>
        <w:tab w:val="clear" w:pos="8306"/>
        <w:tab w:val="right" w:pos="8504"/>
      </w:tabs>
      <w:spacing w:after="60"/>
      <w:jc w:val="right"/>
      <w:rPr>
        <w:rFonts w:hAnsi="FrankRuehl" w:cs="FrankRuehl"/>
        <w:sz w:val="22"/>
        <w:szCs w:val="22"/>
        <w:rtl/>
      </w:rPr>
    </w:pPr>
    <w:r>
      <w:rPr>
        <w:rFonts w:hAnsi="FrankRuehl" w:cs="FrankRuehl"/>
        <w:sz w:val="22"/>
        <w:szCs w:val="22"/>
        <w:rtl/>
      </w:rPr>
      <w:t>פסקי-דין, כרך לב, חלק שני , תשל"ח/תשל"ט 1978</w:t>
    </w:r>
    <w:r>
      <w:rPr>
        <w:rFonts w:hAnsi="FrankRuehl" w:cs="FrankRuehl"/>
        <w:sz w:val="22"/>
        <w:szCs w:val="22"/>
        <w:rtl/>
      </w:rPr>
      <w:tab/>
    </w:r>
    <w:r>
      <w:rPr>
        <w:rFonts w:hAnsi="FrankRuehl" w:cs="FrankRuehl"/>
        <w:sz w:val="22"/>
        <w:szCs w:val="22"/>
        <w:rtl/>
      </w:rPr>
      <w:fldChar w:fldCharType="begin"/>
    </w:r>
    <w:r>
      <w:rPr>
        <w:rFonts w:hAnsi="FrankRuehl" w:cs="FrankRuehl"/>
        <w:sz w:val="22"/>
        <w:szCs w:val="22"/>
        <w:rtl/>
      </w:rPr>
      <w:instrText xml:space="preserve"> </w:instrText>
    </w:r>
    <w:r>
      <w:rPr>
        <w:rFonts w:hAnsi="FrankRuehl" w:cs="FrankRuehl"/>
        <w:sz w:val="22"/>
        <w:szCs w:val="22"/>
      </w:rPr>
      <w:instrText xml:space="preserve">PAGE </w:instrText>
    </w:r>
    <w:r>
      <w:rPr>
        <w:rFonts w:hAnsi="FrankRuehl" w:cs="FrankRuehl"/>
        <w:sz w:val="22"/>
        <w:szCs w:val="22"/>
        <w:rtl/>
      </w:rPr>
      <w:instrText xml:space="preserve"> \* </w:instrText>
    </w:r>
    <w:r>
      <w:rPr>
        <w:rFonts w:hAnsi="FrankRuehl" w:cs="FrankRuehl"/>
        <w:sz w:val="22"/>
        <w:szCs w:val="22"/>
      </w:rPr>
      <w:instrText>MERGEFORMAT</w:instrText>
    </w:r>
    <w:r>
      <w:rPr>
        <w:rFonts w:hAnsi="FrankRuehl" w:cs="FrankRuehl"/>
        <w:sz w:val="22"/>
        <w:szCs w:val="22"/>
        <w:rtl/>
      </w:rPr>
      <w:instrText xml:space="preserve"> </w:instrText>
    </w:r>
    <w:r>
      <w:rPr>
        <w:rFonts w:hAnsi="FrankRuehl" w:cs="FrankRuehl"/>
        <w:sz w:val="22"/>
        <w:szCs w:val="22"/>
        <w:rtl/>
      </w:rPr>
      <w:fldChar w:fldCharType="separate"/>
    </w:r>
    <w:r w:rsidR="00593302">
      <w:rPr>
        <w:rFonts w:hAnsi="FrankRuehl" w:cs="FrankRuehl"/>
        <w:noProof/>
        <w:sz w:val="22"/>
        <w:szCs w:val="22"/>
        <w:rtl/>
      </w:rPr>
      <w:t>671</w:t>
    </w:r>
    <w:r>
      <w:rPr>
        <w:rFonts w:hAnsi="FrankRuehl" w:cs="FrankRuehl"/>
        <w:sz w:val="22"/>
        <w:szCs w:val="22"/>
        <w:rtl/>
      </w:rPr>
      <w:fldChar w:fldCharType="end"/>
    </w:r>
  </w:p>
  <w:p w:rsidR="000905FE" w:rsidRDefault="000905FE">
    <w:pPr>
      <w:pStyle w:val="Footer"/>
      <w:pBdr>
        <w:top w:val="single" w:sz="4" w:space="1" w:color="auto"/>
        <w:between w:val="single" w:sz="4" w:space="0" w:color="auto"/>
      </w:pBdr>
      <w:tabs>
        <w:tab w:val="clear" w:pos="4153"/>
        <w:tab w:val="clear" w:pos="8306"/>
        <w:tab w:val="right" w:pos="8504"/>
      </w:tabs>
      <w:spacing w:after="60"/>
      <w:jc w:val="center"/>
      <w:rPr>
        <w:rFonts w:cs="TopType Jerushalmi"/>
        <w:sz w:val="28"/>
        <w:szCs w:val="22"/>
        <w:rtl/>
      </w:rPr>
    </w:pPr>
    <w:r>
      <w:rPr>
        <w:rFonts w:cs="TopType Jerushalmi"/>
        <w:sz w:val="28"/>
        <w:szCs w:val="22"/>
        <w:rtl/>
      </w:rPr>
      <w:t xml:space="preserve">נבו הוצאה לאור בע"מ  </w:t>
    </w:r>
    <w:r>
      <w:rPr>
        <w:rFonts w:cs="TopType Jerushalmi"/>
        <w:sz w:val="28"/>
        <w:szCs w:val="22"/>
      </w:rPr>
      <w:t>nevo.co.il</w:t>
    </w:r>
    <w:r>
      <w:rPr>
        <w:rFonts w:cs="TopType Jerushalmi"/>
        <w:sz w:val="28"/>
        <w:szCs w:val="22"/>
        <w:rtl/>
      </w:rPr>
      <w:t xml:space="preserve">   המאגר המשפטי הישראלי</w:t>
    </w:r>
  </w:p>
  <w:p w:rsidR="000905FE" w:rsidRDefault="000905FE">
    <w:pPr>
      <w:pStyle w:val="Footer"/>
      <w:pBdr>
        <w:top w:val="single" w:sz="4" w:space="1" w:color="auto"/>
        <w:between w:val="single" w:sz="4" w:space="0" w:color="auto"/>
      </w:pBdr>
      <w:tabs>
        <w:tab w:val="clear" w:pos="4153"/>
        <w:tab w:val="clear" w:pos="8306"/>
        <w:tab w:val="right" w:pos="8504"/>
      </w:tabs>
      <w:jc w:val="left"/>
      <w:rPr>
        <w:rFonts w:cs="TopType Jerushalmi"/>
        <w:sz w:val="14"/>
        <w:szCs w:val="14"/>
        <w:rtl/>
      </w:rPr>
    </w:pPr>
    <w:r>
      <w:rPr>
        <w:rFonts w:cs="TopType Jerushalmi"/>
        <w:sz w:val="14"/>
        <w:szCs w:val="14"/>
        <w:rtl/>
      </w:rPr>
      <w:fldChar w:fldCharType="begin"/>
    </w:r>
    <w:r>
      <w:rPr>
        <w:rFonts w:cs="TopType Jerushalmi"/>
        <w:sz w:val="14"/>
        <w:szCs w:val="14"/>
        <w:rtl/>
      </w:rPr>
      <w:instrText xml:space="preserve"> </w:instrText>
    </w:r>
    <w:r>
      <w:rPr>
        <w:rFonts w:cs="TopType Jerushalmi"/>
        <w:sz w:val="14"/>
        <w:szCs w:val="14"/>
      </w:rPr>
      <w:instrText>FILENAME \p  \* MERGEFORMAT</w:instrText>
    </w:r>
    <w:r>
      <w:rPr>
        <w:rFonts w:cs="TopType Jerushalmi"/>
        <w:sz w:val="14"/>
        <w:szCs w:val="14"/>
        <w:rtl/>
      </w:rPr>
      <w:instrText xml:space="preserve"> </w:instrText>
    </w:r>
    <w:r>
      <w:rPr>
        <w:rFonts w:cs="TopType Jerushalmi"/>
        <w:sz w:val="14"/>
        <w:szCs w:val="14"/>
        <w:rtl/>
      </w:rPr>
      <w:fldChar w:fldCharType="separate"/>
    </w:r>
    <w:r w:rsidR="00CA3163">
      <w:rPr>
        <w:rFonts w:cs="TopType Jerushalmi"/>
        <w:noProof/>
        <w:sz w:val="14"/>
        <w:szCs w:val="14"/>
      </w:rPr>
      <w:t>Z:\hakikato run\hakika final public\hakika\recieve all</w:t>
    </w:r>
    <w:r w:rsidR="00CA3163" w:rsidRPr="00CA3163">
      <w:rPr>
        <w:rFonts w:cs="TopType Jerushalmi"/>
        <w:noProof/>
        <w:sz w:val="14"/>
        <w:szCs w:val="14"/>
        <w:rtl/>
      </w:rPr>
      <w:t>\הרצה</w:t>
    </w:r>
    <w:r w:rsidR="00CA3163">
      <w:rPr>
        <w:rFonts w:cs="Times New Roman"/>
        <w:noProof/>
        <w:sz w:val="14"/>
        <w:szCs w:val="14"/>
        <w:rtl/>
      </w:rPr>
      <w:t xml:space="preserve"> לקישורים פסיקה וספרות\15\</w:t>
    </w:r>
    <w:r w:rsidR="00CA3163" w:rsidRPr="00CA3163">
      <w:rPr>
        <w:rFonts w:cs="Times New Roman"/>
        <w:noProof/>
        <w:sz w:val="14"/>
        <w:szCs w:val="14"/>
      </w:rPr>
      <w:t>LA-2-666-L.doc</w:t>
    </w:r>
    <w:r>
      <w:rPr>
        <w:rFonts w:cs="TopType Jerushalmi"/>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708" w:rsidRDefault="00314708">
      <w:r>
        <w:separator/>
      </w:r>
    </w:p>
  </w:footnote>
  <w:footnote w:type="continuationSeparator" w:id="0">
    <w:p w:rsidR="00314708" w:rsidRDefault="0031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5FE" w:rsidRDefault="000905FE">
    <w:pPr>
      <w:pStyle w:val="Header"/>
      <w:tabs>
        <w:tab w:val="clear" w:pos="4153"/>
        <w:tab w:val="clear" w:pos="8306"/>
        <w:tab w:val="right" w:pos="8504"/>
      </w:tabs>
      <w:jc w:val="left"/>
      <w:rPr>
        <w:rFonts w:hAnsi="FrankRuehl" w:cs="FrankRuehl"/>
        <w:sz w:val="24"/>
        <w:szCs w:val="24"/>
        <w:rtl/>
      </w:rPr>
    </w:pPr>
    <w:r>
      <w:rPr>
        <w:rFonts w:hAnsi="FrankRuehl" w:cs="FrankRuehl"/>
        <w:sz w:val="24"/>
        <w:szCs w:val="24"/>
        <w:rtl/>
      </w:rPr>
      <w:t>עפ  566/77</w:t>
    </w:r>
    <w:r>
      <w:rPr>
        <w:rFonts w:hAnsi="FrankRuehl" w:cs="FrankRuehl"/>
        <w:sz w:val="24"/>
        <w:szCs w:val="24"/>
        <w:rtl/>
      </w:rPr>
      <w:tab/>
      <w:t xml:space="preserve"> אורינט קולור מעבדה לצלום צבעוני בע"מ נ' מדינת ישראל</w:t>
    </w:r>
  </w:p>
  <w:p w:rsidR="000905FE" w:rsidRDefault="000905FE">
    <w:pPr>
      <w:pStyle w:val="Header"/>
      <w:pBdr>
        <w:top w:val="single" w:sz="4" w:space="0" w:color="auto"/>
      </w:pBdr>
      <w:tabs>
        <w:tab w:val="clear" w:pos="4153"/>
        <w:tab w:val="clear" w:pos="8306"/>
        <w:tab w:val="right" w:pos="8504"/>
      </w:tabs>
      <w:jc w:val="left"/>
      <w:rPr>
        <w:rFonts w:hAnsi="FrankRuehl" w:cs="FrankRuehl"/>
        <w:sz w:val="22"/>
        <w:szCs w:val="22"/>
        <w:rtl/>
      </w:rPr>
    </w:pPr>
    <w:r>
      <w:rPr>
        <w:rFonts w:hAnsi="FrankRuehl" w:cs="FrankRuehl"/>
        <w:sz w:val="22"/>
        <w:szCs w:val="22"/>
        <w:rtl/>
      </w:rPr>
      <w:t>פ"מ לב(2) 666</w:t>
    </w:r>
  </w:p>
  <w:p w:rsidR="000905FE" w:rsidRDefault="000905FE">
    <w:pPr>
      <w:pStyle w:val="Header"/>
      <w:pBdr>
        <w:top w:val="single" w:sz="4" w:space="0" w:color="auto"/>
      </w:pBdr>
      <w:tabs>
        <w:tab w:val="clear" w:pos="4153"/>
        <w:tab w:val="clear" w:pos="8306"/>
        <w:tab w:val="right" w:pos="8504"/>
      </w:tabs>
      <w:jc w:val="left"/>
      <w:rPr>
        <w:rFonts w:hAnsi="FrankRuehl" w:cs="FrankRuehl"/>
        <w:sz w:val="22"/>
        <w:szCs w:val="22"/>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5FE" w:rsidRDefault="000905FE">
    <w:pPr>
      <w:pStyle w:val="Header"/>
      <w:tabs>
        <w:tab w:val="clear" w:pos="4153"/>
        <w:tab w:val="clear" w:pos="8306"/>
        <w:tab w:val="right" w:pos="8504"/>
      </w:tabs>
      <w:jc w:val="left"/>
      <w:rPr>
        <w:rFonts w:hAnsi="FrankRuehl" w:cs="FrankRuehl"/>
        <w:sz w:val="24"/>
        <w:szCs w:val="24"/>
        <w:rtl/>
      </w:rPr>
    </w:pPr>
    <w:r>
      <w:rPr>
        <w:rFonts w:hAnsi="FrankRuehl" w:cs="FrankRuehl"/>
        <w:sz w:val="24"/>
        <w:szCs w:val="24"/>
        <w:rtl/>
      </w:rPr>
      <w:t>עפ  566/77</w:t>
    </w:r>
    <w:r>
      <w:rPr>
        <w:rFonts w:hAnsi="FrankRuehl" w:cs="FrankRuehl"/>
        <w:sz w:val="24"/>
        <w:szCs w:val="24"/>
        <w:rtl/>
      </w:rPr>
      <w:tab/>
      <w:t xml:space="preserve"> אורינט קולור מעבדה לצלום צבעוני בע"מ נ' מדינת ישראל</w:t>
    </w:r>
  </w:p>
  <w:p w:rsidR="000905FE" w:rsidRDefault="000905FE">
    <w:pPr>
      <w:pStyle w:val="Header"/>
      <w:pBdr>
        <w:top w:val="single" w:sz="4" w:space="0" w:color="auto"/>
      </w:pBdr>
      <w:tabs>
        <w:tab w:val="clear" w:pos="4153"/>
        <w:tab w:val="clear" w:pos="8306"/>
        <w:tab w:val="right" w:pos="8504"/>
      </w:tabs>
      <w:jc w:val="left"/>
      <w:rPr>
        <w:rFonts w:hAnsi="FrankRuehl" w:cs="FrankRuehl"/>
        <w:sz w:val="22"/>
        <w:szCs w:val="22"/>
        <w:rtl/>
      </w:rPr>
    </w:pPr>
    <w:r>
      <w:rPr>
        <w:rFonts w:hAnsi="FrankRuehl" w:cs="FrankRuehl"/>
        <w:sz w:val="22"/>
        <w:szCs w:val="22"/>
        <w:rtl/>
      </w:rPr>
      <w:t>פ"מ לב(2) 666</w:t>
    </w:r>
  </w:p>
  <w:p w:rsidR="000905FE" w:rsidRDefault="000905FE">
    <w:pPr>
      <w:pStyle w:val="Header"/>
      <w:pBdr>
        <w:top w:val="single" w:sz="4" w:space="0" w:color="auto"/>
      </w:pBdr>
      <w:tabs>
        <w:tab w:val="clear" w:pos="4153"/>
        <w:tab w:val="clear" w:pos="8306"/>
        <w:tab w:val="right" w:pos="8504"/>
      </w:tabs>
      <w:jc w:val="left"/>
      <w:rPr>
        <w:rFonts w:hAnsi="FrankRuehl" w:cs="FrankRuehl"/>
        <w:sz w:val="22"/>
        <w:szCs w:val="22"/>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evenAndOddHeaders/>
  <w:drawingGridHorizontalSpacing w:val="100"/>
  <w:drawingGridVerticalSpacing w:val="136"/>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FE"/>
    <w:rsid w:val="000905FE"/>
    <w:rsid w:val="00314708"/>
    <w:rsid w:val="00593302"/>
    <w:rsid w:val="00CA3163"/>
    <w:rsid w:val="00ED6AF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FD0496F-D58B-4E48-B58F-0A9F65EDE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iriam"/>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jc w:val="both"/>
    </w:pPr>
    <w:rPr>
      <w:rFonts w:cs="David"/>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pPr>
      <w:jc w:val="left"/>
    </w:pPr>
    <w:rPr>
      <w:rFonts w:ascii="Courier New" w:hAnsi="Courier New" w:cs="Courier New"/>
    </w:rPr>
  </w:style>
  <w:style w:type="character" w:customStyle="1" w:styleId="a">
    <w:name w:val="חקיקה_מאוזכרת"/>
    <w:rPr>
      <w:rFonts w:ascii="Times New Roman" w:hAnsi="Times New Roman" w:cs="David"/>
      <w:color w:val="0000FF"/>
      <w:sz w:val="20"/>
      <w:szCs w:val="20"/>
      <w:u w:val="single"/>
    </w:rPr>
  </w:style>
  <w:style w:type="paragraph" w:customStyle="1" w:styleId="a0">
    <w:name w:val="כותרת_ממורכזת"/>
    <w:basedOn w:val="Normal"/>
    <w:pPr>
      <w:jc w:val="center"/>
    </w:pPr>
    <w:rPr>
      <w:b/>
      <w:bCs/>
    </w:rPr>
  </w:style>
  <w:style w:type="character" w:customStyle="1" w:styleId="a1">
    <w:name w:val="כותרת_סעיף"/>
    <w:rPr>
      <w:rFonts w:ascii="Times New Roman" w:hAnsi="Times New Roman" w:cs="David"/>
      <w:b/>
      <w:bCs/>
      <w:sz w:val="20"/>
      <w:szCs w:val="20"/>
    </w:rPr>
  </w:style>
  <w:style w:type="paragraph" w:customStyle="1" w:styleId="a2">
    <w:name w:val="כותרת_פסק_דין"/>
    <w:basedOn w:val="a0"/>
    <w:rPr>
      <w:lang w:eastAsia="en-US"/>
    </w:rPr>
  </w:style>
  <w:style w:type="character" w:customStyle="1" w:styleId="a3">
    <w:name w:val="סוג_הליך"/>
    <w:rPr>
      <w:rFonts w:ascii="Times New Roman" w:hAnsi="Times New Roman" w:cs="David"/>
      <w:color w:val="FF0000"/>
      <w:sz w:val="20"/>
      <w:szCs w:val="20"/>
      <w:u w:val="single"/>
    </w:rPr>
  </w:style>
  <w:style w:type="paragraph" w:customStyle="1" w:styleId="a4">
    <w:name w:val="ציטוט_עברית"/>
    <w:basedOn w:val="Normal"/>
    <w:pPr>
      <w:ind w:left="851" w:right="1134"/>
    </w:pPr>
  </w:style>
  <w:style w:type="character" w:customStyle="1" w:styleId="a5">
    <w:name w:val="שופט"/>
    <w:rPr>
      <w:rFonts w:ascii="Times New Roman" w:hAnsi="Times New Roman" w:cs="David"/>
      <w:i w:val="0"/>
      <w:iCs w:val="0"/>
      <w:sz w:val="20"/>
      <w:szCs w:val="20"/>
    </w:rPr>
  </w:style>
  <w:style w:type="character" w:customStyle="1" w:styleId="a6">
    <w:name w:val="תאריך_מתן_פסק_הדין"/>
    <w:rPr>
      <w:rFonts w:ascii="Times New Roman" w:hAnsi="Times New Roman" w:cs="David"/>
      <w:color w:val="FF9900"/>
      <w:sz w:val="20"/>
      <w:szCs w:val="20"/>
    </w:rPr>
  </w:style>
  <w:style w:type="character" w:customStyle="1" w:styleId="a7">
    <w:name w:val="תיקון_אחרון"/>
    <w:rPr>
      <w:rFonts w:ascii="Times New Roman" w:hAnsi="Times New Roman" w:cs="David"/>
      <w:color w:val="00CCFF"/>
      <w:sz w:val="20"/>
      <w:szCs w:val="20"/>
    </w:rPr>
  </w:style>
  <w:style w:type="paragraph" w:customStyle="1" w:styleId="a8">
    <w:name w:val="מספר_תיק"/>
    <w:basedOn w:val="Normal"/>
    <w:pPr>
      <w:jc w:val="right"/>
    </w:pPr>
    <w:rPr>
      <w:b/>
      <w:bCs/>
    </w:rPr>
  </w:style>
  <w:style w:type="character" w:customStyle="1" w:styleId="1">
    <w:name w:val="מייצג1"/>
    <w:rPr>
      <w:rFonts w:ascii="Times New Roman" w:hAnsi="Times New Roman" w:cs="David"/>
      <w:color w:val="008000"/>
      <w:sz w:val="20"/>
      <w:szCs w:val="20"/>
    </w:rPr>
  </w:style>
  <w:style w:type="character" w:customStyle="1" w:styleId="2">
    <w:name w:val="מייצג2"/>
    <w:rPr>
      <w:rFonts w:ascii="Times New Roman" w:hAnsi="Times New Roman" w:cs="David"/>
      <w:color w:val="800080"/>
      <w:sz w:val="20"/>
      <w:szCs w:val="20"/>
    </w:rPr>
  </w:style>
  <w:style w:type="character" w:customStyle="1" w:styleId="a9">
    <w:name w:val="מראה_מקום"/>
    <w:rPr>
      <w:rFonts w:ascii="Times New Roman" w:hAnsi="Times New Roman" w:cs="David"/>
      <w:color w:val="008000"/>
      <w:sz w:val="20"/>
      <w:szCs w:val="20"/>
      <w:u w:val="single" w:color="008000"/>
      <w:vertAlign w:val="baseline"/>
    </w:rPr>
  </w:style>
  <w:style w:type="character" w:customStyle="1" w:styleId="10">
    <w:name w:val="צד1"/>
    <w:rPr>
      <w:rFonts w:ascii="Times New Roman" w:hAnsi="Times New Roman" w:cs="David"/>
      <w:color w:val="FF0000"/>
      <w:sz w:val="20"/>
      <w:szCs w:val="20"/>
    </w:rPr>
  </w:style>
  <w:style w:type="character" w:customStyle="1" w:styleId="20">
    <w:name w:val="צד2"/>
    <w:rPr>
      <w:rFonts w:ascii="Times New Roman" w:hAnsi="Times New Roman" w:cs="David"/>
      <w:color w:val="0000FF"/>
      <w:sz w:val="20"/>
      <w:szCs w:val="20"/>
    </w:rPr>
  </w:style>
  <w:style w:type="character" w:customStyle="1" w:styleId="aa">
    <w:name w:val="כותרת_חוק"/>
    <w:rPr>
      <w:rFonts w:ascii="Times New Roman" w:hAnsi="Times New Roman" w:cs="David"/>
      <w:i/>
      <w:iCs/>
      <w:sz w:val="20"/>
      <w:szCs w:val="20"/>
    </w:rPr>
  </w:style>
  <w:style w:type="paragraph" w:customStyle="1" w:styleId="ab">
    <w:name w:val="כותרת_פרק"/>
    <w:basedOn w:val="Normal"/>
    <w:pPr>
      <w:jc w:val="center"/>
    </w:pPr>
    <w:rPr>
      <w:b/>
      <w:bCs/>
      <w:lang w:eastAsia="en-US"/>
    </w:rPr>
  </w:style>
  <w:style w:type="paragraph" w:customStyle="1" w:styleId="ac">
    <w:name w:val="ציטוט_אנגלית"/>
    <w:basedOn w:val="Normal"/>
    <w:pPr>
      <w:ind w:left="851" w:right="1134"/>
      <w:jc w:val="right"/>
    </w:pPr>
  </w:style>
  <w:style w:type="paragraph" w:customStyle="1" w:styleId="ad">
    <w:name w:val="טבלה"/>
    <w:basedOn w:val="Normal"/>
    <w:rPr>
      <w:rFonts w:ascii="Courier New" w:hAnsi="Courier New" w:cs="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sid w:val="000905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600" TargetMode="External"/><Relationship Id="rId13" Type="http://schemas.openxmlformats.org/officeDocument/2006/relationships/hyperlink" Target="http://www.nevo.co.il/case/17941219" TargetMode="External"/><Relationship Id="rId18" Type="http://schemas.openxmlformats.org/officeDocument/2006/relationships/hyperlink" Target="http://www.nevo.co.il/case/17913663" TargetMode="External"/><Relationship Id="rId26" Type="http://schemas.openxmlformats.org/officeDocument/2006/relationships/hyperlink" Target="http://www.nevo.co.il/case/17939782" TargetMode="External"/><Relationship Id="rId3" Type="http://schemas.openxmlformats.org/officeDocument/2006/relationships/webSettings" Target="webSettings.xml"/><Relationship Id="rId21" Type="http://schemas.openxmlformats.org/officeDocument/2006/relationships/hyperlink" Target="http://www.nevo.co.il/law/71600/18" TargetMode="External"/><Relationship Id="rId34" Type="http://schemas.openxmlformats.org/officeDocument/2006/relationships/footer" Target="footer1.xml"/><Relationship Id="rId7" Type="http://schemas.openxmlformats.org/officeDocument/2006/relationships/hyperlink" Target="http://www.nevo.co.il/law/71600" TargetMode="External"/><Relationship Id="rId12" Type="http://schemas.openxmlformats.org/officeDocument/2006/relationships/hyperlink" Target="http://www.nevo.co.il/case/17912377" TargetMode="External"/><Relationship Id="rId17" Type="http://schemas.openxmlformats.org/officeDocument/2006/relationships/hyperlink" Target="http://www.nevo.co.il/law/71600" TargetMode="External"/><Relationship Id="rId25" Type="http://schemas.openxmlformats.org/officeDocument/2006/relationships/hyperlink" Target="http://www.nevo.co.il/case/16997421" TargetMode="External"/><Relationship Id="rId33"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www.nevo.co.il/case/17946696" TargetMode="External"/><Relationship Id="rId20" Type="http://schemas.openxmlformats.org/officeDocument/2006/relationships/hyperlink" Target="http://www.nevo.co.il/safrut/book/6120" TargetMode="External"/><Relationship Id="rId29" Type="http://schemas.openxmlformats.org/officeDocument/2006/relationships/hyperlink" Target="http://www.nevo.co.il/case/17911599" TargetMode="External"/><Relationship Id="rId1" Type="http://schemas.openxmlformats.org/officeDocument/2006/relationships/styles" Target="styles.xml"/><Relationship Id="rId6" Type="http://schemas.openxmlformats.org/officeDocument/2006/relationships/hyperlink" Target="http://www.nevo.co.il/case/17937222" TargetMode="External"/><Relationship Id="rId11" Type="http://schemas.openxmlformats.org/officeDocument/2006/relationships/hyperlink" Target="http://www.nevo.co.il/case/17939782" TargetMode="External"/><Relationship Id="rId24" Type="http://schemas.openxmlformats.org/officeDocument/2006/relationships/hyperlink" Target="http://www.nevo.co.il/law/71600"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nevo.co.il/case/17930912" TargetMode="External"/><Relationship Id="rId23" Type="http://schemas.openxmlformats.org/officeDocument/2006/relationships/hyperlink" Target="http://www.nevo.co.il/law/71600" TargetMode="External"/><Relationship Id="rId28" Type="http://schemas.openxmlformats.org/officeDocument/2006/relationships/hyperlink" Target="http://www.nevo.co.il/case/17941219" TargetMode="External"/><Relationship Id="rId36" Type="http://schemas.openxmlformats.org/officeDocument/2006/relationships/fontTable" Target="fontTable.xml"/><Relationship Id="rId10" Type="http://schemas.openxmlformats.org/officeDocument/2006/relationships/hyperlink" Target="http://www.nevo.co.il/case/16997421" TargetMode="External"/><Relationship Id="rId19" Type="http://schemas.openxmlformats.org/officeDocument/2006/relationships/hyperlink" Target="http://www.nevo.co.il/case/17931251" TargetMode="External"/><Relationship Id="rId31" Type="http://schemas.openxmlformats.org/officeDocument/2006/relationships/hyperlink" Target="http://www.nevo.co.il/law/71600/18.a" TargetMode="External"/><Relationship Id="rId4" Type="http://schemas.openxmlformats.org/officeDocument/2006/relationships/footnotes" Target="footnotes.xml"/><Relationship Id="rId9" Type="http://schemas.openxmlformats.org/officeDocument/2006/relationships/hyperlink" Target="http://www.nevo.co.il/law/71600" TargetMode="External"/><Relationship Id="rId14" Type="http://schemas.openxmlformats.org/officeDocument/2006/relationships/hyperlink" Target="http://www.nevo.co.il/case/17911599" TargetMode="External"/><Relationship Id="rId22" Type="http://schemas.openxmlformats.org/officeDocument/2006/relationships/hyperlink" Target="http://www.nevo.co.il/law/71600/43" TargetMode="External"/><Relationship Id="rId27" Type="http://schemas.openxmlformats.org/officeDocument/2006/relationships/hyperlink" Target="http://www.nevo.co.il/case/17912377" TargetMode="External"/><Relationship Id="rId30" Type="http://schemas.openxmlformats.org/officeDocument/2006/relationships/hyperlink" Target="http://www.nevo.co.il/law/71600/23"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2358</Words>
  <Characters>11791</Characters>
  <Application>Microsoft Office Word</Application>
  <DocSecurity>0</DocSecurity>
  <Lines>98</Lines>
  <Paragraphs>28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 ערעור פלילי מס' 566/77, 575/77</vt:lpstr>
    </vt:vector>
  </TitlesOfParts>
  <Company> </Company>
  <LinksUpToDate>false</LinksUpToDate>
  <CharactersWithSpaces>14121</CharactersWithSpaces>
  <SharedDoc>false</SharedDoc>
  <HLinks>
    <vt:vector size="156" baseType="variant">
      <vt:variant>
        <vt:i4>852046</vt:i4>
      </vt:variant>
      <vt:variant>
        <vt:i4>75</vt:i4>
      </vt:variant>
      <vt:variant>
        <vt:i4>0</vt:i4>
      </vt:variant>
      <vt:variant>
        <vt:i4>5</vt:i4>
      </vt:variant>
      <vt:variant>
        <vt:lpwstr>http://www.nevo.co.il/law/71600/18.a</vt:lpwstr>
      </vt:variant>
      <vt:variant>
        <vt:lpwstr/>
      </vt:variant>
      <vt:variant>
        <vt:i4>6750307</vt:i4>
      </vt:variant>
      <vt:variant>
        <vt:i4>72</vt:i4>
      </vt:variant>
      <vt:variant>
        <vt:i4>0</vt:i4>
      </vt:variant>
      <vt:variant>
        <vt:i4>5</vt:i4>
      </vt:variant>
      <vt:variant>
        <vt:lpwstr>http://www.nevo.co.il/law/71600/23</vt:lpwstr>
      </vt:variant>
      <vt:variant>
        <vt:lpwstr/>
      </vt:variant>
      <vt:variant>
        <vt:i4>3145847</vt:i4>
      </vt:variant>
      <vt:variant>
        <vt:i4>69</vt:i4>
      </vt:variant>
      <vt:variant>
        <vt:i4>0</vt:i4>
      </vt:variant>
      <vt:variant>
        <vt:i4>5</vt:i4>
      </vt:variant>
      <vt:variant>
        <vt:lpwstr>http://www.nevo.co.il/case/17911599</vt:lpwstr>
      </vt:variant>
      <vt:variant>
        <vt:lpwstr/>
      </vt:variant>
      <vt:variant>
        <vt:i4>3670133</vt:i4>
      </vt:variant>
      <vt:variant>
        <vt:i4>66</vt:i4>
      </vt:variant>
      <vt:variant>
        <vt:i4>0</vt:i4>
      </vt:variant>
      <vt:variant>
        <vt:i4>5</vt:i4>
      </vt:variant>
      <vt:variant>
        <vt:lpwstr>http://www.nevo.co.il/case/17941219</vt:lpwstr>
      </vt:variant>
      <vt:variant>
        <vt:lpwstr/>
      </vt:variant>
      <vt:variant>
        <vt:i4>3997809</vt:i4>
      </vt:variant>
      <vt:variant>
        <vt:i4>63</vt:i4>
      </vt:variant>
      <vt:variant>
        <vt:i4>0</vt:i4>
      </vt:variant>
      <vt:variant>
        <vt:i4>5</vt:i4>
      </vt:variant>
      <vt:variant>
        <vt:lpwstr>http://www.nevo.co.il/case/17912377</vt:lpwstr>
      </vt:variant>
      <vt:variant>
        <vt:lpwstr/>
      </vt:variant>
      <vt:variant>
        <vt:i4>3735671</vt:i4>
      </vt:variant>
      <vt:variant>
        <vt:i4>60</vt:i4>
      </vt:variant>
      <vt:variant>
        <vt:i4>0</vt:i4>
      </vt:variant>
      <vt:variant>
        <vt:i4>5</vt:i4>
      </vt:variant>
      <vt:variant>
        <vt:lpwstr>http://www.nevo.co.il/case/17939782</vt:lpwstr>
      </vt:variant>
      <vt:variant>
        <vt:lpwstr/>
      </vt:variant>
      <vt:variant>
        <vt:i4>3997823</vt:i4>
      </vt:variant>
      <vt:variant>
        <vt:i4>57</vt:i4>
      </vt:variant>
      <vt:variant>
        <vt:i4>0</vt:i4>
      </vt:variant>
      <vt:variant>
        <vt:i4>5</vt:i4>
      </vt:variant>
      <vt:variant>
        <vt:lpwstr>http://www.nevo.co.il/case/16997421</vt:lpwstr>
      </vt:variant>
      <vt:variant>
        <vt:lpwstr/>
      </vt:variant>
      <vt:variant>
        <vt:i4>8061025</vt:i4>
      </vt:variant>
      <vt:variant>
        <vt:i4>54</vt:i4>
      </vt:variant>
      <vt:variant>
        <vt:i4>0</vt:i4>
      </vt:variant>
      <vt:variant>
        <vt:i4>5</vt:i4>
      </vt:variant>
      <vt:variant>
        <vt:lpwstr>http://www.nevo.co.il/law/71600</vt:lpwstr>
      </vt:variant>
      <vt:variant>
        <vt:lpwstr/>
      </vt:variant>
      <vt:variant>
        <vt:i4>8061025</vt:i4>
      </vt:variant>
      <vt:variant>
        <vt:i4>51</vt:i4>
      </vt:variant>
      <vt:variant>
        <vt:i4>0</vt:i4>
      </vt:variant>
      <vt:variant>
        <vt:i4>5</vt:i4>
      </vt:variant>
      <vt:variant>
        <vt:lpwstr>http://www.nevo.co.il/law/71600</vt:lpwstr>
      </vt:variant>
      <vt:variant>
        <vt:lpwstr/>
      </vt:variant>
      <vt:variant>
        <vt:i4>6750309</vt:i4>
      </vt:variant>
      <vt:variant>
        <vt:i4>48</vt:i4>
      </vt:variant>
      <vt:variant>
        <vt:i4>0</vt:i4>
      </vt:variant>
      <vt:variant>
        <vt:i4>5</vt:i4>
      </vt:variant>
      <vt:variant>
        <vt:lpwstr>http://www.nevo.co.il/law/71600/43</vt:lpwstr>
      </vt:variant>
      <vt:variant>
        <vt:lpwstr/>
      </vt:variant>
      <vt:variant>
        <vt:i4>7077984</vt:i4>
      </vt:variant>
      <vt:variant>
        <vt:i4>45</vt:i4>
      </vt:variant>
      <vt:variant>
        <vt:i4>0</vt:i4>
      </vt:variant>
      <vt:variant>
        <vt:i4>5</vt:i4>
      </vt:variant>
      <vt:variant>
        <vt:lpwstr>http://www.nevo.co.il/law/71600/18</vt:lpwstr>
      </vt:variant>
      <vt:variant>
        <vt:lpwstr/>
      </vt:variant>
      <vt:variant>
        <vt:i4>7340084</vt:i4>
      </vt:variant>
      <vt:variant>
        <vt:i4>42</vt:i4>
      </vt:variant>
      <vt:variant>
        <vt:i4>0</vt:i4>
      </vt:variant>
      <vt:variant>
        <vt:i4>5</vt:i4>
      </vt:variant>
      <vt:variant>
        <vt:lpwstr>http://www.nevo.co.il/safrut/book/6120</vt:lpwstr>
      </vt:variant>
      <vt:variant>
        <vt:lpwstr/>
      </vt:variant>
      <vt:variant>
        <vt:i4>3932274</vt:i4>
      </vt:variant>
      <vt:variant>
        <vt:i4>39</vt:i4>
      </vt:variant>
      <vt:variant>
        <vt:i4>0</vt:i4>
      </vt:variant>
      <vt:variant>
        <vt:i4>5</vt:i4>
      </vt:variant>
      <vt:variant>
        <vt:lpwstr>http://www.nevo.co.il/case/17931251</vt:lpwstr>
      </vt:variant>
      <vt:variant>
        <vt:lpwstr/>
      </vt:variant>
      <vt:variant>
        <vt:i4>3997812</vt:i4>
      </vt:variant>
      <vt:variant>
        <vt:i4>36</vt:i4>
      </vt:variant>
      <vt:variant>
        <vt:i4>0</vt:i4>
      </vt:variant>
      <vt:variant>
        <vt:i4>5</vt:i4>
      </vt:variant>
      <vt:variant>
        <vt:lpwstr>http://www.nevo.co.il/case/17913663</vt:lpwstr>
      </vt:variant>
      <vt:variant>
        <vt:lpwstr/>
      </vt:variant>
      <vt:variant>
        <vt:i4>8061025</vt:i4>
      </vt:variant>
      <vt:variant>
        <vt:i4>33</vt:i4>
      </vt:variant>
      <vt:variant>
        <vt:i4>0</vt:i4>
      </vt:variant>
      <vt:variant>
        <vt:i4>5</vt:i4>
      </vt:variant>
      <vt:variant>
        <vt:lpwstr>http://www.nevo.co.il/law/71600</vt:lpwstr>
      </vt:variant>
      <vt:variant>
        <vt:lpwstr/>
      </vt:variant>
      <vt:variant>
        <vt:i4>3604593</vt:i4>
      </vt:variant>
      <vt:variant>
        <vt:i4>30</vt:i4>
      </vt:variant>
      <vt:variant>
        <vt:i4>0</vt:i4>
      </vt:variant>
      <vt:variant>
        <vt:i4>5</vt:i4>
      </vt:variant>
      <vt:variant>
        <vt:lpwstr>http://www.nevo.co.il/case/17946696</vt:lpwstr>
      </vt:variant>
      <vt:variant>
        <vt:lpwstr/>
      </vt:variant>
      <vt:variant>
        <vt:i4>3735673</vt:i4>
      </vt:variant>
      <vt:variant>
        <vt:i4>27</vt:i4>
      </vt:variant>
      <vt:variant>
        <vt:i4>0</vt:i4>
      </vt:variant>
      <vt:variant>
        <vt:i4>5</vt:i4>
      </vt:variant>
      <vt:variant>
        <vt:lpwstr>http://www.nevo.co.il/case/17930912</vt:lpwstr>
      </vt:variant>
      <vt:variant>
        <vt:lpwstr/>
      </vt:variant>
      <vt:variant>
        <vt:i4>3145847</vt:i4>
      </vt:variant>
      <vt:variant>
        <vt:i4>24</vt:i4>
      </vt:variant>
      <vt:variant>
        <vt:i4>0</vt:i4>
      </vt:variant>
      <vt:variant>
        <vt:i4>5</vt:i4>
      </vt:variant>
      <vt:variant>
        <vt:lpwstr>http://www.nevo.co.il/case/17911599</vt:lpwstr>
      </vt:variant>
      <vt:variant>
        <vt:lpwstr/>
      </vt:variant>
      <vt:variant>
        <vt:i4>3670133</vt:i4>
      </vt:variant>
      <vt:variant>
        <vt:i4>21</vt:i4>
      </vt:variant>
      <vt:variant>
        <vt:i4>0</vt:i4>
      </vt:variant>
      <vt:variant>
        <vt:i4>5</vt:i4>
      </vt:variant>
      <vt:variant>
        <vt:lpwstr>http://www.nevo.co.il/case/17941219</vt:lpwstr>
      </vt:variant>
      <vt:variant>
        <vt:lpwstr/>
      </vt:variant>
      <vt:variant>
        <vt:i4>3997809</vt:i4>
      </vt:variant>
      <vt:variant>
        <vt:i4>18</vt:i4>
      </vt:variant>
      <vt:variant>
        <vt:i4>0</vt:i4>
      </vt:variant>
      <vt:variant>
        <vt:i4>5</vt:i4>
      </vt:variant>
      <vt:variant>
        <vt:lpwstr>http://www.nevo.co.il/case/17912377</vt:lpwstr>
      </vt:variant>
      <vt:variant>
        <vt:lpwstr/>
      </vt:variant>
      <vt:variant>
        <vt:i4>3735671</vt:i4>
      </vt:variant>
      <vt:variant>
        <vt:i4>15</vt:i4>
      </vt:variant>
      <vt:variant>
        <vt:i4>0</vt:i4>
      </vt:variant>
      <vt:variant>
        <vt:i4>5</vt:i4>
      </vt:variant>
      <vt:variant>
        <vt:lpwstr>http://www.nevo.co.il/case/17939782</vt:lpwstr>
      </vt:variant>
      <vt:variant>
        <vt:lpwstr/>
      </vt:variant>
      <vt:variant>
        <vt:i4>3997823</vt:i4>
      </vt:variant>
      <vt:variant>
        <vt:i4>12</vt:i4>
      </vt:variant>
      <vt:variant>
        <vt:i4>0</vt:i4>
      </vt:variant>
      <vt:variant>
        <vt:i4>5</vt:i4>
      </vt:variant>
      <vt:variant>
        <vt:lpwstr>http://www.nevo.co.il/case/16997421</vt:lpwstr>
      </vt:variant>
      <vt:variant>
        <vt:lpwstr/>
      </vt:variant>
      <vt:variant>
        <vt:i4>8061025</vt:i4>
      </vt:variant>
      <vt:variant>
        <vt:i4>9</vt:i4>
      </vt:variant>
      <vt:variant>
        <vt:i4>0</vt:i4>
      </vt:variant>
      <vt:variant>
        <vt:i4>5</vt:i4>
      </vt:variant>
      <vt:variant>
        <vt:lpwstr>http://www.nevo.co.il/law/71600</vt:lpwstr>
      </vt:variant>
      <vt:variant>
        <vt:lpwstr/>
      </vt:variant>
      <vt:variant>
        <vt:i4>8061025</vt:i4>
      </vt:variant>
      <vt:variant>
        <vt:i4>6</vt:i4>
      </vt:variant>
      <vt:variant>
        <vt:i4>0</vt:i4>
      </vt:variant>
      <vt:variant>
        <vt:i4>5</vt:i4>
      </vt:variant>
      <vt:variant>
        <vt:lpwstr>http://www.nevo.co.il/law/71600</vt:lpwstr>
      </vt:variant>
      <vt:variant>
        <vt:lpwstr/>
      </vt:variant>
      <vt:variant>
        <vt:i4>8061025</vt:i4>
      </vt:variant>
      <vt:variant>
        <vt:i4>3</vt:i4>
      </vt:variant>
      <vt:variant>
        <vt:i4>0</vt:i4>
      </vt:variant>
      <vt:variant>
        <vt:i4>5</vt:i4>
      </vt:variant>
      <vt:variant>
        <vt:lpwstr>http://www.nevo.co.il/law/71600</vt:lpwstr>
      </vt:variant>
      <vt:variant>
        <vt:lpwstr/>
      </vt:variant>
      <vt:variant>
        <vt:i4>3997810</vt:i4>
      </vt:variant>
      <vt:variant>
        <vt:i4>0</vt:i4>
      </vt:variant>
      <vt:variant>
        <vt:i4>0</vt:i4>
      </vt:variant>
      <vt:variant>
        <vt:i4>5</vt:i4>
      </vt:variant>
      <vt:variant>
        <vt:lpwstr>http://www.nevo.co.il/case/17937222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cp:lastModifiedBy>Melita Shafir</cp:lastModifiedBy>
  <cp:revision>2</cp:revision>
  <dcterms:created xsi:type="dcterms:W3CDTF">2019-01-30T14:20:00Z</dcterms:created>
  <dcterms:modified xsi:type="dcterms:W3CDTF">2019-01-30T14:20:00Z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AKDIN">
    <vt:lpwstr>פסק-דין</vt:lpwstr>
  </property>
  <property fmtid="{D5CDD505-2E9C-101B-9397-08002B2CF9AE}" pid="3" name="TYPE">
    <vt:lpwstr>1</vt:lpwstr>
  </property>
  <property fmtid="{D5CDD505-2E9C-101B-9397-08002B2CF9AE}" pid="4" name="LISHKA">
    <vt:lpwstr>Lishka</vt:lpwstr>
  </property>
  <property fmtid="{D5CDD505-2E9C-101B-9397-08002B2CF9AE}" pid="5" name="PROCESS">
    <vt:lpwstr>עפ</vt:lpwstr>
  </property>
  <property fmtid="{D5CDD505-2E9C-101B-9397-08002B2CF9AE}" pid="6" name="PROCNUM">
    <vt:lpwstr>566</vt:lpwstr>
  </property>
  <property fmtid="{D5CDD505-2E9C-101B-9397-08002B2CF9AE}" pid="7" name="PROCYEAR">
    <vt:lpwstr>77</vt:lpwstr>
  </property>
  <property fmtid="{D5CDD505-2E9C-101B-9397-08002B2CF9AE}" pid="8" name="LAW">
    <vt:lpwstr>חוק ההגבלים העסקיים</vt:lpwstr>
  </property>
  <property fmtid="{D5CDD505-2E9C-101B-9397-08002B2CF9AE}" pid="9" name="JUDGE">
    <vt:lpwstr>אשר;אלון;לוין</vt:lpwstr>
  </property>
  <property fmtid="{D5CDD505-2E9C-101B-9397-08002B2CF9AE}" pid="10" name="LAWYER">
    <vt:lpwstr>א' גולדברג;י' הורביץ</vt:lpwstr>
  </property>
  <property fmtid="{D5CDD505-2E9C-101B-9397-08002B2CF9AE}" pid="11" name="APPELLANT">
    <vt:lpwstr>אורינט קולור מעבדה לצלום צבעוני בע#מ;מרסל בן יוסף שמואלי;ש' גטר (צרכי צלום) בע#מ;פסח הגר;צנטרוקולור בע#מ;זביגנוב בן צבי קלינובס;אברהם בן שלמה חדי</vt:lpwstr>
  </property>
  <property fmtid="{D5CDD505-2E9C-101B-9397-08002B2CF9AE}" pid="12" name="APPELLEE">
    <vt:lpwstr>מדינת ישראל</vt:lpwstr>
  </property>
  <property fmtid="{D5CDD505-2E9C-101B-9397-08002B2CF9AE}" pid="13" name="DATE">
    <vt:lpwstr>19780615</vt:lpwstr>
  </property>
  <property fmtid="{D5CDD505-2E9C-101B-9397-08002B2CF9AE}" pid="14" name="ISABSTRACT">
    <vt:lpwstr>Y</vt:lpwstr>
  </property>
  <property fmtid="{D5CDD505-2E9C-101B-9397-08002B2CF9AE}" pid="15" name="PADIMAIL">
    <vt:lpwstr>YES</vt:lpwstr>
  </property>
  <property fmtid="{D5CDD505-2E9C-101B-9397-08002B2CF9AE}" pid="16" name="VOLUME">
    <vt:lpwstr>לב</vt:lpwstr>
  </property>
  <property fmtid="{D5CDD505-2E9C-101B-9397-08002B2CF9AE}" pid="17" name="PART">
    <vt:lpwstr>2</vt:lpwstr>
  </property>
  <property fmtid="{D5CDD505-2E9C-101B-9397-08002B2CF9AE}" pid="18" name="PAGE">
    <vt:lpwstr>666</vt:lpwstr>
  </property>
  <property fmtid="{D5CDD505-2E9C-101B-9397-08002B2CF9AE}" pid="19" name="WORDNUMPAGES">
    <vt:lpwstr>7</vt:lpwstr>
  </property>
  <property fmtid="{D5CDD505-2E9C-101B-9397-08002B2CF9AE}" pid="20" name="NOSE11">
    <vt:lpwstr>עונשין</vt:lpwstr>
  </property>
  <property fmtid="{D5CDD505-2E9C-101B-9397-08002B2CF9AE}" pid="21" name="NOSE21">
    <vt:lpwstr>עבירות</vt:lpwstr>
  </property>
  <property fmtid="{D5CDD505-2E9C-101B-9397-08002B2CF9AE}" pid="22" name="NOSE31">
    <vt:lpwstr>הגבלים עסקיים</vt:lpwstr>
  </property>
  <property fmtid="{D5CDD505-2E9C-101B-9397-08002B2CF9AE}" pid="23" name="NOSE12">
    <vt:lpwstr>ראיות</vt:lpwstr>
  </property>
  <property fmtid="{D5CDD505-2E9C-101B-9397-08002B2CF9AE}" pid="24" name="NOSE22">
    <vt:lpwstr>נטל ההוכחה</vt:lpwstr>
  </property>
  <property fmtid="{D5CDD505-2E9C-101B-9397-08002B2CF9AE}" pid="25" name="NOSE32">
    <vt:lpwstr>יסוד שלילי</vt:lpwstr>
  </property>
  <property fmtid="{D5CDD505-2E9C-101B-9397-08002B2CF9AE}" pid="26" name="LAWLISTTMP1">
    <vt:lpwstr>71600/018;043;023;018.a</vt:lpwstr>
  </property>
  <property fmtid="{D5CDD505-2E9C-101B-9397-08002B2CF9AE}" pid="27" name="BOOKLISTTMP">
    <vt:lpwstr>6120</vt:lpwstr>
  </property>
  <property fmtid="{D5CDD505-2E9C-101B-9397-08002B2CF9AE}" pid="28" name="CASESLISTTMP1">
    <vt:lpwstr>17937222;16997421:2;17939782:2;17912377:2;17941219:2;17911599:2;17930912;17946696;17913663;17931251</vt:lpwstr>
  </property>
  <property fmtid="{D5CDD505-2E9C-101B-9397-08002B2CF9AE}" pid="29" name="CASENOTES1">
    <vt:lpwstr>ProcID=133;209&amp;PartA=575&amp;PartC=77</vt:lpwstr>
  </property>
  <property fmtid="{D5CDD505-2E9C-101B-9397-08002B2CF9AE}" pid="30" name="CASENOTES2">
    <vt:lpwstr>ProcID=133;209&amp;PartA=697&amp;PartC=76</vt:lpwstr>
  </property>
  <property fmtid="{D5CDD505-2E9C-101B-9397-08002B2CF9AE}" pid="31" name="CASENOTES3">
    <vt:lpwstr>ProcID=209&amp;PartA=7246&amp;PartC=72</vt:lpwstr>
  </property>
</Properties>
</file>